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9D" w:rsidRDefault="00993D9D"/>
    <w:p w:rsidR="00993D9D" w:rsidRDefault="00993D9D"/>
    <w:p w:rsidR="00993D9D" w:rsidRDefault="00993D9D"/>
    <w:p w:rsidR="00993D9D" w:rsidRDefault="00993D9D"/>
    <w:p w:rsidR="00993D9D" w:rsidRDefault="00993D9D"/>
    <w:p w:rsidR="00993D9D" w:rsidRDefault="00993D9D"/>
    <w:p w:rsidR="00993D9D" w:rsidRDefault="00993D9D"/>
    <w:p w:rsidR="00993D9D" w:rsidRDefault="00993D9D"/>
    <w:p w:rsidR="00993D9D" w:rsidRDefault="00704EC5">
      <w:pPr>
        <w:jc w:val="center"/>
        <w:rPr>
          <w:rFonts w:ascii="Calibri Light" w:eastAsia="黑体" w:hAnsi="黑体"/>
          <w:b/>
          <w:sz w:val="72"/>
          <w:szCs w:val="72"/>
        </w:rPr>
      </w:pPr>
      <w:r>
        <w:rPr>
          <w:rFonts w:ascii="Calibri Light" w:eastAsia="黑体" w:hAnsi="黑体" w:hint="eastAsia"/>
          <w:b/>
          <w:sz w:val="72"/>
          <w:szCs w:val="72"/>
        </w:rPr>
        <w:t>“王老吉基金”</w:t>
      </w:r>
    </w:p>
    <w:p w:rsidR="00993D9D" w:rsidRDefault="00704EC5">
      <w:pPr>
        <w:jc w:val="center"/>
      </w:pPr>
      <w:r>
        <w:rPr>
          <w:rFonts w:ascii="Calibri Light" w:eastAsia="黑体" w:hAnsi="黑体" w:hint="eastAsia"/>
          <w:b/>
          <w:sz w:val="72"/>
          <w:szCs w:val="72"/>
        </w:rPr>
        <w:t>执行报告</w:t>
      </w:r>
    </w:p>
    <w:p w:rsidR="00993D9D" w:rsidRDefault="00704EC5">
      <w:r>
        <w:br w:type="page"/>
      </w:r>
    </w:p>
    <w:p w:rsidR="00993D9D" w:rsidRDefault="00993D9D">
      <w:pPr>
        <w:sectPr w:rsidR="00993D9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993D9D" w:rsidRPr="007F01AD" w:rsidRDefault="00E778CE" w:rsidP="00E778CE">
      <w:pPr>
        <w:autoSpaceDE w:val="0"/>
        <w:spacing w:line="600" w:lineRule="auto"/>
        <w:jc w:val="center"/>
        <w:outlineLvl w:val="0"/>
        <w:rPr>
          <w:rFonts w:ascii="黑体" w:eastAsia="黑体" w:hAnsi="黑体"/>
          <w:b/>
          <w:bCs/>
          <w:kern w:val="44"/>
          <w:sz w:val="44"/>
          <w:szCs w:val="44"/>
        </w:rPr>
      </w:pPr>
      <w:bookmarkStart w:id="0" w:name="_Toc7077_WPSOffice_Level1"/>
      <w:bookmarkStart w:id="1" w:name="_Toc32253"/>
      <w:bookmarkStart w:id="2" w:name="_Toc18251"/>
      <w:bookmarkStart w:id="3" w:name="_Toc26081"/>
      <w:r>
        <w:rPr>
          <w:rFonts w:ascii="黑体" w:eastAsia="黑体" w:hAnsi="黑体" w:hint="eastAsia"/>
          <w:b/>
          <w:bCs/>
          <w:kern w:val="44"/>
          <w:sz w:val="44"/>
          <w:szCs w:val="44"/>
        </w:rPr>
        <w:lastRenderedPageBreak/>
        <w:t>“王老吉基金”执行</w:t>
      </w:r>
      <w:r w:rsidR="00704EC5" w:rsidRPr="007F01AD">
        <w:rPr>
          <w:rFonts w:ascii="黑体" w:eastAsia="黑体" w:hAnsi="黑体" w:hint="eastAsia"/>
          <w:b/>
          <w:bCs/>
          <w:kern w:val="44"/>
          <w:sz w:val="44"/>
          <w:szCs w:val="44"/>
        </w:rPr>
        <w:t>报告</w:t>
      </w:r>
      <w:bookmarkEnd w:id="0"/>
      <w:bookmarkEnd w:id="1"/>
      <w:bookmarkEnd w:id="2"/>
      <w:bookmarkEnd w:id="3"/>
    </w:p>
    <w:p w:rsidR="00993D9D" w:rsidRDefault="00704EC5">
      <w:pPr>
        <w:ind w:firstLineChars="200" w:firstLine="640"/>
        <w:jc w:val="left"/>
        <w:rPr>
          <w:rFonts w:ascii="仿宋" w:hAnsi="仿宋" w:cs="仿宋"/>
          <w:color w:val="000000"/>
          <w:szCs w:val="32"/>
        </w:rPr>
      </w:pPr>
      <w:r>
        <w:rPr>
          <w:rFonts w:ascii="仿宋" w:hAnsi="仿宋" w:cs="仿宋" w:hint="eastAsia"/>
          <w:color w:val="000000"/>
          <w:szCs w:val="32"/>
        </w:rPr>
        <w:t>为培养优秀人才、关心学生成长，支持中国人民大学的教学、科研工作和教育事业发展，广州王老吉大健康产业有限公司无偿向中国人民大学捐赠人民币500万元，设立“中国人民大学王老吉基金”。捐赠款自2019年-2028年分十年到账，每年到账人民币50万元，用于支持以下项目：</w:t>
      </w:r>
    </w:p>
    <w:p w:rsidR="00993D9D" w:rsidRDefault="00704EC5">
      <w:pPr>
        <w:numPr>
          <w:ilvl w:val="0"/>
          <w:numId w:val="1"/>
        </w:numPr>
        <w:ind w:firstLineChars="200" w:firstLine="640"/>
        <w:jc w:val="left"/>
        <w:rPr>
          <w:rFonts w:ascii="仿宋" w:hAnsi="仿宋" w:cs="仿宋"/>
          <w:color w:val="000000"/>
          <w:szCs w:val="32"/>
        </w:rPr>
      </w:pPr>
      <w:r>
        <w:rPr>
          <w:rFonts w:ascii="仿宋" w:hAnsi="仿宋" w:cs="仿宋" w:hint="eastAsia"/>
          <w:color w:val="000000"/>
          <w:szCs w:val="32"/>
        </w:rPr>
        <w:t>设立“中国人民大学王老吉奖学金”，用于支持中国人民大学综合型人才培养：每年到账30万元，分十年到账，共计人民币300万元。中国人民大学学生处负责项目执行。</w:t>
      </w:r>
    </w:p>
    <w:p w:rsidR="00993D9D" w:rsidRDefault="00704EC5">
      <w:pPr>
        <w:numPr>
          <w:ilvl w:val="0"/>
          <w:numId w:val="1"/>
        </w:numPr>
        <w:ind w:firstLineChars="200" w:firstLine="640"/>
        <w:jc w:val="left"/>
        <w:rPr>
          <w:rFonts w:ascii="仿宋" w:hAnsi="仿宋" w:cs="仿宋"/>
          <w:color w:val="000000"/>
          <w:szCs w:val="32"/>
        </w:rPr>
      </w:pPr>
      <w:r>
        <w:rPr>
          <w:rFonts w:ascii="仿宋" w:hAnsi="仿宋" w:cs="仿宋" w:hint="eastAsia"/>
          <w:color w:val="000000"/>
          <w:szCs w:val="32"/>
        </w:rPr>
        <w:t>设立“王老吉校园活动基金”，用于支持中国人民大学开展各类校园文娱体育活动：每年到账20万元，分十年到账，共计人民币200万元。中国人民大学团委负责项目执行。</w:t>
      </w:r>
    </w:p>
    <w:p w:rsidR="00993D9D" w:rsidRDefault="00704EC5">
      <w:pPr>
        <w:ind w:firstLineChars="200" w:firstLine="640"/>
        <w:rPr>
          <w:rFonts w:ascii="仿宋" w:hAnsi="仿宋"/>
          <w:szCs w:val="32"/>
        </w:rPr>
      </w:pPr>
      <w:r>
        <w:rPr>
          <w:rFonts w:ascii="仿宋" w:hAnsi="仿宋" w:hint="eastAsia"/>
          <w:szCs w:val="32"/>
        </w:rPr>
        <w:t>截至2021年12月3</w:t>
      </w:r>
      <w:r w:rsidR="007B06E3">
        <w:rPr>
          <w:rFonts w:ascii="仿宋" w:hAnsi="仿宋"/>
          <w:szCs w:val="32"/>
        </w:rPr>
        <w:t>1</w:t>
      </w:r>
      <w:r>
        <w:rPr>
          <w:rFonts w:ascii="仿宋" w:hAnsi="仿宋" w:hint="eastAsia"/>
          <w:szCs w:val="32"/>
        </w:rPr>
        <w:t>日，在</w:t>
      </w:r>
      <w:r>
        <w:rPr>
          <w:rFonts w:ascii="仿宋" w:hAnsi="仿宋" w:cs="仿宋" w:hint="eastAsia"/>
          <w:color w:val="000000"/>
          <w:szCs w:val="32"/>
        </w:rPr>
        <w:t>广州王老吉大健康产业有限公司</w:t>
      </w:r>
      <w:r>
        <w:rPr>
          <w:rFonts w:ascii="仿宋" w:hAnsi="仿宋" w:hint="eastAsia"/>
          <w:szCs w:val="32"/>
        </w:rPr>
        <w:t>的支持下，</w:t>
      </w:r>
      <w:r>
        <w:rPr>
          <w:rFonts w:ascii="仿宋" w:hAnsi="仿宋" w:cs="仿宋" w:hint="eastAsia"/>
          <w:color w:val="000000"/>
          <w:szCs w:val="32"/>
        </w:rPr>
        <w:t>基金共到账150万元人民币，已支出人民币70万元人民币，结余80万元人民币。</w:t>
      </w:r>
      <w:r>
        <w:rPr>
          <w:rFonts w:ascii="仿宋" w:hAnsi="仿宋" w:hint="eastAsia"/>
          <w:szCs w:val="32"/>
        </w:rPr>
        <w:t>现将项目的具体执行情况汇报如下：</w:t>
      </w:r>
    </w:p>
    <w:p w:rsidR="00993D9D" w:rsidRDefault="00704EC5">
      <w:pPr>
        <w:ind w:firstLineChars="200" w:firstLine="643"/>
        <w:outlineLvl w:val="0"/>
        <w:rPr>
          <w:rFonts w:ascii="仿宋" w:hAnsi="仿宋"/>
          <w:b/>
          <w:bCs/>
          <w:szCs w:val="32"/>
        </w:rPr>
      </w:pPr>
      <w:bookmarkStart w:id="4" w:name="_Toc23103"/>
      <w:r>
        <w:rPr>
          <w:rFonts w:ascii="仿宋" w:hAnsi="仿宋" w:hint="eastAsia"/>
          <w:b/>
          <w:bCs/>
          <w:szCs w:val="32"/>
        </w:rPr>
        <w:t>一、项目管理</w:t>
      </w:r>
      <w:bookmarkEnd w:id="4"/>
    </w:p>
    <w:p w:rsidR="00993D9D" w:rsidRDefault="00704EC5">
      <w:pPr>
        <w:ind w:firstLineChars="200" w:firstLine="640"/>
        <w:rPr>
          <w:rFonts w:ascii="仿宋" w:hAnsi="仿宋"/>
          <w:szCs w:val="32"/>
        </w:rPr>
      </w:pPr>
      <w:r>
        <w:rPr>
          <w:rFonts w:ascii="仿宋" w:hAnsi="仿宋" w:hint="eastAsia"/>
          <w:szCs w:val="32"/>
        </w:rPr>
        <w:t>自“王老吉基金”设立以来，为使捐赠善举得到最大程度的发挥效用，为落实基金的项目执行并</w:t>
      </w:r>
      <w:r>
        <w:rPr>
          <w:rFonts w:ascii="仿宋" w:hAnsi="仿宋"/>
          <w:szCs w:val="32"/>
        </w:rPr>
        <w:t>促进基金产生良好社会效益</w:t>
      </w:r>
      <w:r>
        <w:rPr>
          <w:rFonts w:ascii="仿宋" w:hAnsi="仿宋" w:hint="eastAsia"/>
          <w:szCs w:val="32"/>
        </w:rPr>
        <w:t>，教育基金会根据捐赠协议，指定学生处和团委作</w:t>
      </w:r>
      <w:r>
        <w:rPr>
          <w:rFonts w:ascii="仿宋" w:hAnsi="仿宋" w:hint="eastAsia"/>
          <w:szCs w:val="32"/>
        </w:rPr>
        <w:lastRenderedPageBreak/>
        <w:t>为基金的项目执行单位。教育基金会严格要求项目执行单位按照有关法律法规及教育基金会关于捐赠资金使用的管理规定，对资金使用、项目执行等环节规范操作，从制度上对捐赠资金的使用严格把关，确保基金运行的严肃性、规范性，做到专款专用，最大程度地发挥出捐赠资金的价值。</w:t>
      </w:r>
    </w:p>
    <w:p w:rsidR="00993D9D" w:rsidRDefault="00704EC5">
      <w:pPr>
        <w:numPr>
          <w:ilvl w:val="0"/>
          <w:numId w:val="2"/>
        </w:numPr>
        <w:ind w:firstLineChars="200" w:firstLine="643"/>
        <w:outlineLvl w:val="0"/>
        <w:rPr>
          <w:rFonts w:ascii="仿宋" w:hAnsi="仿宋"/>
          <w:b/>
          <w:bCs/>
          <w:szCs w:val="32"/>
        </w:rPr>
      </w:pPr>
      <w:bookmarkStart w:id="5" w:name="_Toc30801"/>
      <w:bookmarkStart w:id="6" w:name="_Toc838"/>
      <w:bookmarkStart w:id="7" w:name="_Toc17073"/>
      <w:r>
        <w:rPr>
          <w:rFonts w:ascii="仿宋" w:hAnsi="仿宋" w:hint="eastAsia"/>
          <w:b/>
          <w:bCs/>
          <w:szCs w:val="32"/>
        </w:rPr>
        <w:t>项目实施</w:t>
      </w:r>
      <w:bookmarkEnd w:id="5"/>
      <w:bookmarkEnd w:id="6"/>
      <w:bookmarkEnd w:id="7"/>
    </w:p>
    <w:p w:rsidR="00993D9D" w:rsidRDefault="00704EC5">
      <w:pPr>
        <w:numPr>
          <w:ilvl w:val="0"/>
          <w:numId w:val="3"/>
        </w:numPr>
        <w:ind w:firstLineChars="200" w:firstLine="643"/>
        <w:rPr>
          <w:rFonts w:ascii="仿宋" w:hAnsi="仿宋"/>
          <w:szCs w:val="32"/>
        </w:rPr>
      </w:pPr>
      <w:r>
        <w:rPr>
          <w:rFonts w:ascii="仿宋" w:hAnsi="仿宋" w:hint="eastAsia"/>
          <w:b/>
          <w:bCs/>
          <w:szCs w:val="32"/>
        </w:rPr>
        <w:t>执行单位：学生处</w:t>
      </w:r>
    </w:p>
    <w:p w:rsidR="00993D9D" w:rsidRDefault="00704EC5">
      <w:pPr>
        <w:ind w:firstLineChars="200" w:firstLine="640"/>
      </w:pPr>
      <w:r>
        <w:rPr>
          <w:rFonts w:ascii="仿宋" w:hAnsi="仿宋" w:hint="eastAsia"/>
          <w:szCs w:val="32"/>
        </w:rPr>
        <w:t>为落实“王老吉奖学金”的执行，鼓励在校学生积极进取，学生处结合学校工作实际和在校学生学习生活需求，制定《中国人民大学王老吉奖学金使用方案》和《王老吉奖学金评审细则》，明确“王老吉奖学金”用于奖励</w:t>
      </w:r>
      <w:r>
        <w:rPr>
          <w:rFonts w:hint="eastAsia"/>
        </w:rPr>
        <w:t>人民大学品学兼优、自立自强、在校内勤工助学固定岗工作中表现突出的学生，积极发挥勤工助学的实践育人作用，激励广大</w:t>
      </w:r>
      <w:r>
        <w:t>学生自立自强</w:t>
      </w:r>
      <w:r>
        <w:rPr>
          <w:rFonts w:hint="eastAsia"/>
        </w:rPr>
        <w:t>、</w:t>
      </w:r>
      <w:r>
        <w:t>成长成才</w:t>
      </w:r>
      <w:r>
        <w:rPr>
          <w:rFonts w:hint="eastAsia"/>
        </w:rPr>
        <w:t>。</w:t>
      </w:r>
    </w:p>
    <w:p w:rsidR="00993D9D" w:rsidRDefault="00704EC5">
      <w:pPr>
        <w:ind w:firstLineChars="200" w:firstLine="640"/>
        <w:rPr>
          <w:rFonts w:ascii="仿宋" w:hAnsi="仿宋"/>
          <w:szCs w:val="32"/>
        </w:rPr>
      </w:pPr>
      <w:r>
        <w:rPr>
          <w:rFonts w:ascii="仿宋" w:hAnsi="仿宋" w:hint="eastAsia"/>
          <w:szCs w:val="32"/>
        </w:rPr>
        <w:t>2020年春季因突发新冠肺炎疫情，学生无法返校上课，学校勤工助学固定岗工作受疫情影响，学生无法满足“至少一学年连续在岗”这一参评基本条件，因此2020年春季学期未开展王老吉奖学金评选，奖学金评审工作将整体向后延期一年。</w:t>
      </w:r>
    </w:p>
    <w:p w:rsidR="00993D9D" w:rsidRDefault="00704EC5">
      <w:pPr>
        <w:ind w:firstLineChars="200" w:firstLine="640"/>
        <w:rPr>
          <w:rFonts w:ascii="仿宋" w:hAnsi="仿宋"/>
          <w:b/>
          <w:bCs/>
          <w:szCs w:val="32"/>
        </w:rPr>
      </w:pPr>
      <w:r>
        <w:rPr>
          <w:rFonts w:ascii="仿宋" w:hAnsi="仿宋" w:hint="eastAsia"/>
          <w:szCs w:val="32"/>
        </w:rPr>
        <w:t>2021年6月，学生处开展“王老吉奖学金”评选工作，根据《王老吉奖学金评审细则》，最终评选出获奖学生162人，其中一等奖35人，每人3000元；二等奖127人，每人</w:t>
      </w:r>
      <w:r>
        <w:rPr>
          <w:rFonts w:ascii="仿宋" w:hAnsi="仿宋" w:hint="eastAsia"/>
          <w:szCs w:val="32"/>
        </w:rPr>
        <w:lastRenderedPageBreak/>
        <w:t>1500元。</w:t>
      </w:r>
    </w:p>
    <w:p w:rsidR="00993D9D" w:rsidRDefault="00704EC5">
      <w:pPr>
        <w:numPr>
          <w:ilvl w:val="0"/>
          <w:numId w:val="3"/>
        </w:numPr>
        <w:ind w:firstLineChars="200" w:firstLine="643"/>
        <w:rPr>
          <w:rFonts w:ascii="仿宋" w:hAnsi="仿宋"/>
          <w:b/>
          <w:bCs/>
          <w:szCs w:val="32"/>
        </w:rPr>
      </w:pPr>
      <w:r>
        <w:rPr>
          <w:rFonts w:ascii="仿宋" w:hAnsi="仿宋" w:hint="eastAsia"/>
          <w:b/>
          <w:bCs/>
          <w:szCs w:val="32"/>
        </w:rPr>
        <w:t>执行单位：团委</w:t>
      </w:r>
    </w:p>
    <w:p w:rsidR="00993D9D" w:rsidRDefault="00704EC5">
      <w:pPr>
        <w:ind w:firstLineChars="200" w:firstLine="640"/>
        <w:rPr>
          <w:rFonts w:ascii="仿宋" w:hAnsi="仿宋"/>
          <w:szCs w:val="32"/>
        </w:rPr>
      </w:pPr>
      <w:r>
        <w:rPr>
          <w:rFonts w:ascii="仿宋" w:hAnsi="仿宋" w:hint="eastAsia"/>
          <w:szCs w:val="32"/>
        </w:rPr>
        <w:t>为落实中国人民大学“王老吉校园活动基金”的执行，加强校企合作，团委作为项目执行单位，将校园活动基金的使用方向确定为中国人民大学新年跨年特别活动及中国人民大学学生艺术团话剧团专场演出等校园文化活动。</w:t>
      </w:r>
    </w:p>
    <w:p w:rsidR="00993D9D" w:rsidRDefault="00704EC5">
      <w:pPr>
        <w:ind w:firstLineChars="200" w:firstLine="640"/>
        <w:rPr>
          <w:rFonts w:ascii="仿宋" w:hAnsi="仿宋"/>
          <w:szCs w:val="32"/>
        </w:rPr>
      </w:pPr>
      <w:r>
        <w:rPr>
          <w:rFonts w:ascii="仿宋" w:hAnsi="仿宋" w:hint="eastAsia"/>
          <w:szCs w:val="32"/>
        </w:rPr>
        <w:t>其中，团委将2019年王老吉校园活动基金所支持的中国人民大学新年跨年特别活动确定以2019年</w:t>
      </w:r>
      <w:r>
        <w:rPr>
          <w:rFonts w:ascii="仿宋" w:hAnsi="仿宋"/>
          <w:szCs w:val="32"/>
        </w:rPr>
        <w:t>新年联欢晚会</w:t>
      </w:r>
      <w:r>
        <w:rPr>
          <w:rFonts w:ascii="仿宋" w:hAnsi="仿宋" w:hint="eastAsia"/>
          <w:szCs w:val="32"/>
        </w:rPr>
        <w:t>的形式举办。本场晚会主题为</w:t>
      </w:r>
      <w:r>
        <w:rPr>
          <w:rFonts w:ascii="仿宋" w:hAnsi="仿宋"/>
          <w:szCs w:val="32"/>
        </w:rPr>
        <w:t>“筑梦四十载，奋进再出发”</w:t>
      </w:r>
      <w:r>
        <w:rPr>
          <w:rFonts w:ascii="仿宋" w:hAnsi="仿宋" w:hint="eastAsia"/>
          <w:szCs w:val="32"/>
        </w:rPr>
        <w:t>，</w:t>
      </w:r>
      <w:r>
        <w:rPr>
          <w:rFonts w:ascii="仿宋" w:hAnsi="仿宋"/>
          <w:szCs w:val="32"/>
        </w:rPr>
        <w:t>整场晚会由“相望来路”“相守今岁”“相伴而行”三个篇章组成。三个篇章围绕“筑梦四十载，奋进再出发”的主题，在营造欢庆祥和的新年氛围同时，抒发了人大人勇立时代潮头，勇</w:t>
      </w:r>
      <w:r w:rsidR="00030282">
        <w:rPr>
          <w:rFonts w:ascii="仿宋" w:hAnsi="仿宋" w:hint="eastAsia"/>
          <w:szCs w:val="32"/>
        </w:rPr>
        <w:t>当</w:t>
      </w:r>
      <w:r>
        <w:rPr>
          <w:rFonts w:ascii="仿宋" w:hAnsi="仿宋"/>
          <w:szCs w:val="32"/>
        </w:rPr>
        <w:t>时代先锋，筑梦新时代、谱写新篇章的坚定信念与壮志豪情。</w:t>
      </w:r>
    </w:p>
    <w:p w:rsidR="00993D9D" w:rsidRDefault="00704EC5">
      <w:pPr>
        <w:ind w:firstLineChars="200" w:firstLine="640"/>
        <w:rPr>
          <w:rFonts w:ascii="仿宋" w:hAnsi="仿宋"/>
          <w:szCs w:val="32"/>
        </w:rPr>
      </w:pPr>
      <w:r>
        <w:rPr>
          <w:rFonts w:ascii="仿宋" w:hAnsi="仿宋" w:hint="eastAsia"/>
          <w:szCs w:val="32"/>
        </w:rPr>
        <w:t>为进一步创新校园文化活动组织形式，提升文化育人实效，营造喜庆祥和的新年氛围，经报请校领导同意，团委调整了2019-2020年跨年文化活动举办方式，突破传统晚会模式，举办2019-2020跨年特别活动——新年楼体灯光及视频展演活动，以灯光展演形式进行重新打造设计，使用声、光、电和视频等表现手段，从祖国伟大足迹、人大历史传承、2019年度总计和新青年展望新十年等角度进行回顾与展望。在新年的特殊节点上以更符合当代青年需求的独特形式回顾历</w:t>
      </w:r>
      <w:r>
        <w:rPr>
          <w:rFonts w:ascii="仿宋" w:hAnsi="仿宋" w:hint="eastAsia"/>
          <w:szCs w:val="32"/>
        </w:rPr>
        <w:lastRenderedPageBreak/>
        <w:t>史，展望未来，为广大同学营造更具有参与度、获得感的校园氛围，激励广大同学在新的一年持续奋斗，为实现中华民族的伟大复兴贡献属于自己的青春力量。</w:t>
      </w:r>
    </w:p>
    <w:p w:rsidR="00993D9D" w:rsidRDefault="00704EC5">
      <w:pPr>
        <w:ind w:firstLine="640"/>
        <w:rPr>
          <w:rFonts w:ascii="仿宋" w:hAnsi="仿宋"/>
          <w:szCs w:val="32"/>
        </w:rPr>
      </w:pPr>
      <w:r>
        <w:rPr>
          <w:rFonts w:ascii="仿宋" w:hAnsi="仿宋" w:hint="eastAsia"/>
          <w:szCs w:val="32"/>
        </w:rPr>
        <w:t>近年来，由校团委主办的新年活动在人大师生乃至首都高校师生心目中树立了良好的口碑，在校内外积累了大量的忠实受众。以楼体灯光秀及视频展演为核心的跨年活动这一创新形式更为迎合广大同学的新时代文化需求，将新媒体技术创新性地带入校园文化活动，打破传统晚会的形式界限，以新形式营造喜庆祥和的新年氛围，在校内外师生中取得极高的关注度，在新时代青年之中取得了极好的传播效果。</w:t>
      </w:r>
    </w:p>
    <w:p w:rsidR="00993D9D" w:rsidRDefault="00704EC5">
      <w:pPr>
        <w:ind w:firstLine="640"/>
        <w:rPr>
          <w:rFonts w:ascii="仿宋" w:hAnsi="仿宋"/>
          <w:szCs w:val="32"/>
        </w:rPr>
      </w:pPr>
      <w:r>
        <w:rPr>
          <w:rFonts w:ascii="仿宋" w:hAnsi="仿宋" w:hint="eastAsia"/>
          <w:szCs w:val="32"/>
        </w:rPr>
        <w:t>2021年，由于北京2022年冬（残）奥会已进入全面冲刺阶段，校团委作为学校冬奥服务保障工作领导小组办公室，负责具体组织学校909名师生直接参与北京2022年冬（残）奥会志愿服务工作，时间非常紧，任务也非常重。为全力做好2022年冬（残）奥会的服务保障工作，校团委决定推迟2021年王老吉校园活动基金使用方案的制定和项目的执行，拟于2022年5月，待冬（残）奥会系列活动结束后，再向教育基金会和广州王老吉大健康产业有限公司提交方案。</w:t>
      </w:r>
    </w:p>
    <w:p w:rsidR="00993D9D" w:rsidRDefault="00704EC5">
      <w:pPr>
        <w:ind w:firstLine="640"/>
        <w:rPr>
          <w:rFonts w:ascii="仿宋" w:hAnsi="仿宋"/>
          <w:szCs w:val="32"/>
        </w:rPr>
      </w:pPr>
      <w:r>
        <w:rPr>
          <w:rFonts w:ascii="仿宋" w:hAnsi="仿宋" w:hint="eastAsia"/>
          <w:szCs w:val="32"/>
        </w:rPr>
        <w:t>王老吉教育基金设立以来，团委和学生处严格遵照捐赠协议和项目执行方案落实捐赠款的使用和项目活动的开展，并根据实际情况及时调整项目方案，并及时与教育基金会和</w:t>
      </w:r>
      <w:r>
        <w:rPr>
          <w:rFonts w:ascii="仿宋" w:hAnsi="仿宋" w:hint="eastAsia"/>
          <w:szCs w:val="32"/>
        </w:rPr>
        <w:lastRenderedPageBreak/>
        <w:t>捐赠方沟通，将最新方案及时向教育基金会和广州王老吉大健康产业有限公司备案，保证王老吉教育基金的捐赠款充分发挥出应有的价值。</w:t>
      </w:r>
    </w:p>
    <w:p w:rsidR="00993D9D" w:rsidRDefault="00704EC5">
      <w:pPr>
        <w:autoSpaceDE w:val="0"/>
        <w:spacing w:line="600" w:lineRule="auto"/>
        <w:jc w:val="right"/>
        <w:rPr>
          <w:rFonts w:ascii="仿宋" w:hAnsi="仿宋" w:cs="仿宋"/>
          <w:szCs w:val="32"/>
        </w:rPr>
      </w:pPr>
      <w:r>
        <w:rPr>
          <w:rFonts w:ascii="仿宋" w:hAnsi="仿宋" w:cs="仿宋" w:hint="eastAsia"/>
          <w:szCs w:val="32"/>
          <w:lang w:bidi="ar"/>
        </w:rPr>
        <w:t>中国人民大学教育基金会</w:t>
      </w:r>
    </w:p>
    <w:p w:rsidR="00993D9D" w:rsidRDefault="00704EC5">
      <w:pPr>
        <w:autoSpaceDE w:val="0"/>
        <w:spacing w:line="600" w:lineRule="auto"/>
        <w:ind w:firstLineChars="200" w:firstLine="640"/>
        <w:jc w:val="right"/>
        <w:rPr>
          <w:rFonts w:ascii="仿宋" w:hAnsi="仿宋" w:cs="仿宋"/>
          <w:szCs w:val="32"/>
          <w:lang w:bidi="ar"/>
        </w:rPr>
      </w:pPr>
      <w:r>
        <w:rPr>
          <w:rFonts w:ascii="仿宋" w:hAnsi="仿宋" w:cs="仿宋" w:hint="eastAsia"/>
          <w:szCs w:val="32"/>
          <w:lang w:bidi="ar"/>
        </w:rPr>
        <w:t>2021年12月3</w:t>
      </w:r>
      <w:r w:rsidR="007B06E3">
        <w:rPr>
          <w:rFonts w:ascii="仿宋" w:hAnsi="仿宋" w:cs="仿宋"/>
          <w:szCs w:val="32"/>
          <w:lang w:bidi="ar"/>
        </w:rPr>
        <w:t>1</w:t>
      </w:r>
      <w:r>
        <w:rPr>
          <w:rFonts w:ascii="仿宋" w:hAnsi="仿宋" w:cs="仿宋" w:hint="eastAsia"/>
          <w:szCs w:val="32"/>
          <w:lang w:bidi="ar"/>
        </w:rPr>
        <w:t>日</w:t>
      </w:r>
    </w:p>
    <w:p w:rsidR="00993D9D" w:rsidRDefault="00993D9D">
      <w:pPr>
        <w:ind w:firstLineChars="200" w:firstLine="640"/>
        <w:rPr>
          <w:rFonts w:ascii="仿宋" w:hAnsi="仿宋"/>
          <w:szCs w:val="32"/>
        </w:rPr>
      </w:pPr>
    </w:p>
    <w:p w:rsidR="00993D9D" w:rsidRDefault="00993D9D">
      <w:pPr>
        <w:ind w:firstLineChars="200" w:firstLine="640"/>
        <w:rPr>
          <w:rFonts w:ascii="仿宋" w:hAnsi="仿宋"/>
          <w:szCs w:val="32"/>
        </w:rPr>
      </w:pPr>
    </w:p>
    <w:p w:rsidR="00993D9D" w:rsidRDefault="00993D9D">
      <w:pPr>
        <w:ind w:firstLineChars="200" w:firstLine="640"/>
        <w:rPr>
          <w:rFonts w:ascii="仿宋" w:hAnsi="仿宋"/>
          <w:szCs w:val="32"/>
        </w:rPr>
      </w:pPr>
    </w:p>
    <w:sectPr w:rsidR="00993D9D">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45" w:rsidRDefault="00A35145">
      <w:r>
        <w:separator/>
      </w:r>
    </w:p>
  </w:endnote>
  <w:endnote w:type="continuationSeparator" w:id="0">
    <w:p w:rsidR="00A35145" w:rsidRDefault="00A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iti SC Light">
    <w:altName w:val="Calibri"/>
    <w:charset w:val="50"/>
    <w:family w:val="auto"/>
    <w:pitch w:val="default"/>
    <w:sig w:usb0="00000000" w:usb1="00000000" w:usb2="00000010" w:usb3="00000000" w:csb0="003E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B" w:rsidRDefault="00C74F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B" w:rsidRDefault="00C74F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B" w:rsidRDefault="00C74F2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9D" w:rsidRDefault="00993D9D">
    <w:pPr>
      <w:pStyle w:val="a7"/>
    </w:pPr>
    <w:bookmarkStart w:id="8" w:name="_GoBack"/>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45" w:rsidRDefault="00A35145">
      <w:r>
        <w:separator/>
      </w:r>
    </w:p>
  </w:footnote>
  <w:footnote w:type="continuationSeparator" w:id="0">
    <w:p w:rsidR="00A35145" w:rsidRDefault="00A3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B" w:rsidRDefault="00C74F2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9D" w:rsidRDefault="00A3514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pt;margin-top:-41.05pt;width:595.3pt;height:839.2pt;z-index:-251658240;mso-position-horizontal-relative:text;mso-position-vertical-relative:text;mso-width-relative:page;mso-height-relative:page">
          <v:imagedata r:id="rId1" o:title="2021年项目执行报告底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2B" w:rsidRDefault="00C74F2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EBBF7"/>
    <w:multiLevelType w:val="singleLevel"/>
    <w:tmpl w:val="C0DEBBF7"/>
    <w:lvl w:ilvl="0">
      <w:start w:val="1"/>
      <w:numFmt w:val="decimal"/>
      <w:suff w:val="nothing"/>
      <w:lvlText w:val="%1、"/>
      <w:lvlJc w:val="left"/>
    </w:lvl>
  </w:abstractNum>
  <w:abstractNum w:abstractNumId="1" w15:restartNumberingAfterBreak="0">
    <w:nsid w:val="0CC49F98"/>
    <w:multiLevelType w:val="singleLevel"/>
    <w:tmpl w:val="0CC49F98"/>
    <w:lvl w:ilvl="0">
      <w:start w:val="1"/>
      <w:numFmt w:val="decimal"/>
      <w:suff w:val="nothing"/>
      <w:lvlText w:val="%1、"/>
      <w:lvlJc w:val="left"/>
    </w:lvl>
  </w:abstractNum>
  <w:abstractNum w:abstractNumId="2" w15:restartNumberingAfterBreak="0">
    <w:nsid w:val="1EC13753"/>
    <w:multiLevelType w:val="singleLevel"/>
    <w:tmpl w:val="1EC13753"/>
    <w:lvl w:ilvl="0">
      <w:start w:val="1"/>
      <w:numFmt w:val="decimal"/>
      <w:lvlText w:val="%1."/>
      <w:lvlJc w:val="left"/>
      <w:pPr>
        <w:tabs>
          <w:tab w:val="left" w:pos="312"/>
        </w:tabs>
      </w:pPr>
    </w:lvl>
  </w:abstractNum>
  <w:abstractNum w:abstractNumId="3" w15:restartNumberingAfterBreak="0">
    <w:nsid w:val="5A5EEE39"/>
    <w:multiLevelType w:val="singleLevel"/>
    <w:tmpl w:val="5A5EEE39"/>
    <w:lvl w:ilvl="0">
      <w:start w:val="2"/>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64BFE"/>
    <w:rsid w:val="00030282"/>
    <w:rsid w:val="00052F56"/>
    <w:rsid w:val="00095727"/>
    <w:rsid w:val="00120B34"/>
    <w:rsid w:val="002A6CB2"/>
    <w:rsid w:val="002F5C26"/>
    <w:rsid w:val="00567E7F"/>
    <w:rsid w:val="006C4973"/>
    <w:rsid w:val="00704EC5"/>
    <w:rsid w:val="007B06E3"/>
    <w:rsid w:val="007F01AD"/>
    <w:rsid w:val="00803D90"/>
    <w:rsid w:val="00863A46"/>
    <w:rsid w:val="0091473C"/>
    <w:rsid w:val="00993D9D"/>
    <w:rsid w:val="009F7EA5"/>
    <w:rsid w:val="00A35145"/>
    <w:rsid w:val="00B46C3E"/>
    <w:rsid w:val="00B70591"/>
    <w:rsid w:val="00C34103"/>
    <w:rsid w:val="00C74F2B"/>
    <w:rsid w:val="00C9351C"/>
    <w:rsid w:val="00E778CE"/>
    <w:rsid w:val="00EF75A4"/>
    <w:rsid w:val="00F05303"/>
    <w:rsid w:val="00F15BF3"/>
    <w:rsid w:val="033B65A3"/>
    <w:rsid w:val="09757F9C"/>
    <w:rsid w:val="0CC64BFE"/>
    <w:rsid w:val="0DCD36AF"/>
    <w:rsid w:val="0ED3180C"/>
    <w:rsid w:val="11CE35B2"/>
    <w:rsid w:val="157848F3"/>
    <w:rsid w:val="22654508"/>
    <w:rsid w:val="23CE2921"/>
    <w:rsid w:val="2F46636B"/>
    <w:rsid w:val="30DF3E57"/>
    <w:rsid w:val="388303A3"/>
    <w:rsid w:val="39BB6439"/>
    <w:rsid w:val="3B351F15"/>
    <w:rsid w:val="3DE24A91"/>
    <w:rsid w:val="3E357A4B"/>
    <w:rsid w:val="465B23D4"/>
    <w:rsid w:val="4C2067F0"/>
    <w:rsid w:val="51370C17"/>
    <w:rsid w:val="54D36222"/>
    <w:rsid w:val="74417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17BB1DB-41A3-4B14-B33E-56A526CE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 w:hAnsi="Times New Roman" w:cs="Times New Roman"/>
      <w:kern w:val="2"/>
      <w:sz w:val="32"/>
      <w:szCs w:val="22"/>
    </w:rPr>
  </w:style>
  <w:style w:type="paragraph" w:styleId="1">
    <w:name w:val="heading 1"/>
    <w:basedOn w:val="a"/>
    <w:next w:val="a"/>
    <w:qFormat/>
    <w:pPr>
      <w:keepNext/>
      <w:keepLines/>
      <w:spacing w:line="360"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Heiti SC Light" w:eastAsia="Heiti SC Light"/>
      <w:sz w:val="24"/>
      <w:szCs w:val="24"/>
    </w:rPr>
  </w:style>
  <w:style w:type="paragraph" w:styleId="a5">
    <w:name w:val="Balloon Text"/>
    <w:basedOn w:val="a"/>
    <w:link w:val="a6"/>
    <w:qFormat/>
    <w:rPr>
      <w:rFonts w:ascii="Heiti SC Light" w:eastAsia="Heiti SC Light"/>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a9">
    <w:name w:val="Normal (Web)"/>
    <w:basedOn w:val="a"/>
    <w:qFormat/>
    <w:pPr>
      <w:spacing w:beforeAutospacing="1" w:afterAutospacing="1"/>
      <w:jc w:val="left"/>
    </w:pPr>
    <w:rPr>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paragraph" w:customStyle="1" w:styleId="WPSOffice1">
    <w:name w:val="WPSOffice手动目录 1"/>
    <w:qFormat/>
    <w:rPr>
      <w:rFonts w:ascii="Times New Roman" w:eastAsia="Times New Roman" w:hAnsi="Times New Roman" w:cs="Times New Roman"/>
    </w:rPr>
  </w:style>
  <w:style w:type="character" w:customStyle="1" w:styleId="a4">
    <w:name w:val="文档结构图 字符"/>
    <w:basedOn w:val="a0"/>
    <w:link w:val="a3"/>
    <w:qFormat/>
    <w:rPr>
      <w:rFonts w:ascii="Heiti SC Light" w:eastAsia="Heiti SC Light" w:hAnsi="Times New Roman" w:cs="Times New Roman"/>
      <w:kern w:val="2"/>
      <w:sz w:val="24"/>
      <w:szCs w:val="24"/>
    </w:rPr>
  </w:style>
  <w:style w:type="character" w:customStyle="1" w:styleId="a6">
    <w:name w:val="批注框文本 字符"/>
    <w:basedOn w:val="a0"/>
    <w:link w:val="a5"/>
    <w:qFormat/>
    <w:rPr>
      <w:rFonts w:ascii="Heiti SC Light" w:eastAsia="Heiti SC Light"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志芹</dc:creator>
  <cp:lastModifiedBy>User</cp:lastModifiedBy>
  <cp:revision>19</cp:revision>
  <cp:lastPrinted>2022-01-10T06:40:00Z</cp:lastPrinted>
  <dcterms:created xsi:type="dcterms:W3CDTF">2022-01-03T05:54:00Z</dcterms:created>
  <dcterms:modified xsi:type="dcterms:W3CDTF">2022-11-01T03:42:00Z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B1385E5433B74A35AD7534E06B99EFC7</vt:lpwstr>
  </property>
</Properties>
</file>