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D924" w14:textId="77777777" w:rsidR="002106FF" w:rsidRDefault="002106FF">
      <w:pPr>
        <w:rPr>
          <w:rFonts w:ascii="仿宋" w:eastAsia="仿宋" w:hAnsi="仿宋" w:cs="仿宋"/>
        </w:rPr>
      </w:pPr>
    </w:p>
    <w:p w14:paraId="7F912D8A" w14:textId="77777777" w:rsidR="002106FF" w:rsidRDefault="002106FF">
      <w:pPr>
        <w:rPr>
          <w:rFonts w:ascii="仿宋" w:eastAsia="仿宋" w:hAnsi="仿宋" w:cs="仿宋"/>
        </w:rPr>
      </w:pPr>
    </w:p>
    <w:p w14:paraId="7F8D03CF" w14:textId="77777777" w:rsidR="002106FF" w:rsidRDefault="002106FF">
      <w:pPr>
        <w:rPr>
          <w:rFonts w:ascii="仿宋" w:eastAsia="仿宋" w:hAnsi="仿宋" w:cs="仿宋"/>
        </w:rPr>
      </w:pPr>
    </w:p>
    <w:p w14:paraId="5FD825FE" w14:textId="77777777" w:rsidR="002106FF" w:rsidRDefault="002106FF">
      <w:pPr>
        <w:rPr>
          <w:rFonts w:ascii="仿宋" w:eastAsia="仿宋" w:hAnsi="仿宋" w:cs="仿宋"/>
        </w:rPr>
      </w:pPr>
    </w:p>
    <w:p w14:paraId="02365C9D" w14:textId="77777777" w:rsidR="002106FF" w:rsidRDefault="002106FF">
      <w:pPr>
        <w:rPr>
          <w:rFonts w:ascii="仿宋" w:eastAsia="仿宋" w:hAnsi="仿宋" w:cs="仿宋"/>
        </w:rPr>
      </w:pPr>
    </w:p>
    <w:p w14:paraId="7A8BB69E" w14:textId="77777777" w:rsidR="002106FF" w:rsidRDefault="002106FF">
      <w:pPr>
        <w:rPr>
          <w:rFonts w:ascii="仿宋" w:eastAsia="仿宋" w:hAnsi="仿宋" w:cs="仿宋"/>
        </w:rPr>
      </w:pPr>
    </w:p>
    <w:p w14:paraId="5CE9C575" w14:textId="77777777" w:rsidR="002106FF" w:rsidRDefault="002106FF">
      <w:pPr>
        <w:rPr>
          <w:rFonts w:ascii="仿宋" w:eastAsia="仿宋" w:hAnsi="仿宋" w:cs="仿宋"/>
        </w:rPr>
      </w:pPr>
    </w:p>
    <w:p w14:paraId="0F49063A" w14:textId="77777777" w:rsidR="002106FF" w:rsidRDefault="002106FF">
      <w:pPr>
        <w:rPr>
          <w:rFonts w:ascii="仿宋" w:eastAsia="仿宋" w:hAnsi="仿宋" w:cs="仿宋"/>
        </w:rPr>
      </w:pPr>
    </w:p>
    <w:p w14:paraId="7F80A80C" w14:textId="44ADBBD4" w:rsidR="002106FF" w:rsidRDefault="002106FF">
      <w:pPr>
        <w:rPr>
          <w:rFonts w:ascii="仿宋" w:eastAsia="仿宋" w:hAnsi="仿宋" w:cs="仿宋"/>
        </w:rPr>
      </w:pPr>
    </w:p>
    <w:p w14:paraId="580B9CD7" w14:textId="37A1ADB3" w:rsidR="008F6709" w:rsidRDefault="008F6709">
      <w:pPr>
        <w:rPr>
          <w:rFonts w:ascii="仿宋" w:eastAsia="仿宋" w:hAnsi="仿宋" w:cs="仿宋"/>
        </w:rPr>
      </w:pPr>
    </w:p>
    <w:p w14:paraId="5091892A" w14:textId="03B32A7A" w:rsidR="008F6709" w:rsidRDefault="008F6709">
      <w:pPr>
        <w:rPr>
          <w:rFonts w:ascii="仿宋" w:eastAsia="仿宋" w:hAnsi="仿宋" w:cs="仿宋"/>
        </w:rPr>
      </w:pPr>
    </w:p>
    <w:p w14:paraId="0B713A0E" w14:textId="77777777" w:rsidR="008F6709" w:rsidRDefault="008F6709">
      <w:pPr>
        <w:rPr>
          <w:rFonts w:ascii="仿宋" w:eastAsia="仿宋" w:hAnsi="仿宋" w:cs="仿宋" w:hint="eastAsia"/>
        </w:rPr>
      </w:pPr>
      <w:bookmarkStart w:id="0" w:name="_GoBack"/>
      <w:bookmarkEnd w:id="0"/>
    </w:p>
    <w:p w14:paraId="05BBD16B" w14:textId="77777777" w:rsidR="002106FF" w:rsidRDefault="002106FF">
      <w:pPr>
        <w:rPr>
          <w:rFonts w:ascii="仿宋" w:eastAsia="仿宋" w:hAnsi="仿宋" w:cs="仿宋"/>
        </w:rPr>
      </w:pPr>
    </w:p>
    <w:p w14:paraId="115DAF7E" w14:textId="77777777" w:rsidR="002106FF" w:rsidRPr="008F6709" w:rsidRDefault="002106FF">
      <w:pPr>
        <w:rPr>
          <w:rFonts w:ascii="仿宋" w:eastAsia="仿宋" w:hAnsi="仿宋" w:cs="仿宋"/>
        </w:rPr>
      </w:pPr>
    </w:p>
    <w:p w14:paraId="52224266" w14:textId="77777777" w:rsidR="002106FF" w:rsidRPr="008F6709" w:rsidRDefault="002106FF">
      <w:pPr>
        <w:rPr>
          <w:rFonts w:ascii="仿宋" w:eastAsia="仿宋" w:hAnsi="仿宋" w:cs="仿宋"/>
        </w:rPr>
      </w:pPr>
    </w:p>
    <w:p w14:paraId="075A23CA" w14:textId="77777777" w:rsidR="002106FF" w:rsidRPr="008F6709" w:rsidRDefault="000F0FCB">
      <w:pPr>
        <w:jc w:val="center"/>
        <w:rPr>
          <w:rFonts w:ascii="仿宋" w:eastAsia="仿宋" w:hAnsi="仿宋" w:cs="黑体"/>
          <w:b/>
          <w:sz w:val="52"/>
          <w:szCs w:val="52"/>
        </w:rPr>
      </w:pPr>
      <w:r w:rsidRPr="008F6709">
        <w:rPr>
          <w:rFonts w:ascii="仿宋" w:eastAsia="仿宋" w:hAnsi="仿宋" w:cs="黑体" w:hint="eastAsia"/>
          <w:b/>
          <w:sz w:val="52"/>
          <w:szCs w:val="52"/>
        </w:rPr>
        <w:t>彭真民主法制思想研究与教育基金</w:t>
      </w:r>
    </w:p>
    <w:p w14:paraId="281BC2F8" w14:textId="0AFA0754" w:rsidR="002106FF" w:rsidRPr="008F6709" w:rsidRDefault="00D426EA">
      <w:pPr>
        <w:jc w:val="center"/>
        <w:rPr>
          <w:rFonts w:ascii="仿宋" w:eastAsia="仿宋" w:hAnsi="仿宋" w:cs="黑体"/>
          <w:b/>
          <w:sz w:val="52"/>
          <w:szCs w:val="52"/>
        </w:rPr>
      </w:pPr>
      <w:r w:rsidRPr="008F6709">
        <w:rPr>
          <w:rFonts w:ascii="仿宋" w:eastAsia="仿宋" w:hAnsi="仿宋" w:cs="黑体" w:hint="eastAsia"/>
          <w:b/>
          <w:sz w:val="52"/>
          <w:szCs w:val="52"/>
        </w:rPr>
        <w:t>项目</w:t>
      </w:r>
      <w:r w:rsidR="000F0FCB" w:rsidRPr="008F6709">
        <w:rPr>
          <w:rFonts w:ascii="仿宋" w:eastAsia="仿宋" w:hAnsi="仿宋" w:cs="黑体" w:hint="eastAsia"/>
          <w:b/>
          <w:sz w:val="52"/>
          <w:szCs w:val="52"/>
        </w:rPr>
        <w:t>执行报告</w:t>
      </w:r>
    </w:p>
    <w:p w14:paraId="4C135B9D" w14:textId="77777777" w:rsidR="002106FF" w:rsidRPr="008F6709" w:rsidRDefault="002106FF">
      <w:pPr>
        <w:rPr>
          <w:rFonts w:ascii="仿宋" w:eastAsia="仿宋" w:hAnsi="仿宋" w:cs="仿宋"/>
        </w:rPr>
      </w:pPr>
    </w:p>
    <w:p w14:paraId="1DAE86BB" w14:textId="77777777" w:rsidR="002106FF" w:rsidRPr="008F6709" w:rsidRDefault="002106FF">
      <w:pPr>
        <w:rPr>
          <w:rFonts w:ascii="仿宋" w:eastAsia="仿宋" w:hAnsi="仿宋" w:cs="仿宋"/>
        </w:rPr>
      </w:pPr>
    </w:p>
    <w:p w14:paraId="4B736E9A" w14:textId="77777777" w:rsidR="002106FF" w:rsidRPr="008F6709" w:rsidRDefault="002106FF">
      <w:pPr>
        <w:rPr>
          <w:rFonts w:ascii="仿宋" w:eastAsia="仿宋" w:hAnsi="仿宋" w:cs="仿宋"/>
        </w:rPr>
      </w:pPr>
    </w:p>
    <w:p w14:paraId="2666EC67" w14:textId="77777777" w:rsidR="002106FF" w:rsidRPr="008F6709" w:rsidRDefault="002106FF">
      <w:pPr>
        <w:rPr>
          <w:rFonts w:ascii="仿宋" w:eastAsia="仿宋" w:hAnsi="仿宋" w:cs="仿宋"/>
        </w:rPr>
      </w:pPr>
    </w:p>
    <w:p w14:paraId="5587F8D1" w14:textId="77777777" w:rsidR="002106FF" w:rsidRPr="008F6709" w:rsidRDefault="002106FF">
      <w:pPr>
        <w:rPr>
          <w:rFonts w:ascii="仿宋" w:eastAsia="仿宋" w:hAnsi="仿宋" w:cs="仿宋"/>
        </w:rPr>
      </w:pPr>
    </w:p>
    <w:p w14:paraId="5C615C1D" w14:textId="77777777" w:rsidR="002106FF" w:rsidRPr="008F6709" w:rsidRDefault="002106FF">
      <w:pPr>
        <w:rPr>
          <w:rFonts w:ascii="仿宋" w:eastAsia="仿宋" w:hAnsi="仿宋" w:cs="仿宋"/>
        </w:rPr>
      </w:pPr>
    </w:p>
    <w:p w14:paraId="1E17BDD9" w14:textId="77777777" w:rsidR="002106FF" w:rsidRPr="008F6709" w:rsidRDefault="002106FF">
      <w:pPr>
        <w:rPr>
          <w:rFonts w:ascii="仿宋" w:eastAsia="仿宋" w:hAnsi="仿宋" w:cs="仿宋"/>
        </w:rPr>
      </w:pPr>
    </w:p>
    <w:p w14:paraId="0FDAE43C" w14:textId="77777777" w:rsidR="002106FF" w:rsidRPr="008F6709" w:rsidRDefault="002106FF">
      <w:pPr>
        <w:rPr>
          <w:rFonts w:ascii="仿宋" w:eastAsia="仿宋" w:hAnsi="仿宋" w:cs="仿宋"/>
        </w:rPr>
      </w:pPr>
    </w:p>
    <w:p w14:paraId="5B728053" w14:textId="77777777" w:rsidR="002106FF" w:rsidRPr="008F6709" w:rsidRDefault="002106FF">
      <w:pPr>
        <w:rPr>
          <w:rFonts w:ascii="仿宋" w:eastAsia="仿宋" w:hAnsi="仿宋" w:cs="仿宋"/>
        </w:rPr>
      </w:pPr>
    </w:p>
    <w:p w14:paraId="52B1E8A3" w14:textId="77777777" w:rsidR="002106FF" w:rsidRPr="008F6709" w:rsidRDefault="002106FF">
      <w:pPr>
        <w:rPr>
          <w:rFonts w:ascii="仿宋" w:eastAsia="仿宋" w:hAnsi="仿宋" w:cs="仿宋"/>
        </w:rPr>
      </w:pPr>
    </w:p>
    <w:p w14:paraId="0E36920E" w14:textId="77777777" w:rsidR="002106FF" w:rsidRPr="008F6709" w:rsidRDefault="002106FF">
      <w:pPr>
        <w:rPr>
          <w:rFonts w:ascii="仿宋" w:eastAsia="仿宋" w:hAnsi="仿宋" w:cs="仿宋"/>
        </w:rPr>
      </w:pPr>
    </w:p>
    <w:p w14:paraId="5E8DD895" w14:textId="77777777" w:rsidR="002106FF" w:rsidRPr="008F6709" w:rsidRDefault="002106FF">
      <w:pPr>
        <w:rPr>
          <w:rFonts w:ascii="仿宋" w:eastAsia="仿宋" w:hAnsi="仿宋" w:cs="仿宋"/>
        </w:rPr>
      </w:pPr>
    </w:p>
    <w:p w14:paraId="02BAC07F" w14:textId="77777777" w:rsidR="002106FF" w:rsidRPr="008F6709" w:rsidRDefault="002106FF">
      <w:pPr>
        <w:rPr>
          <w:rFonts w:ascii="仿宋" w:eastAsia="仿宋" w:hAnsi="仿宋" w:cs="仿宋"/>
        </w:rPr>
      </w:pPr>
    </w:p>
    <w:p w14:paraId="51777EFC" w14:textId="77777777" w:rsidR="002106FF" w:rsidRPr="008F6709" w:rsidRDefault="002106FF">
      <w:pPr>
        <w:rPr>
          <w:rFonts w:ascii="仿宋" w:eastAsia="仿宋" w:hAnsi="仿宋" w:cs="仿宋"/>
        </w:rPr>
      </w:pPr>
    </w:p>
    <w:p w14:paraId="704F61E3" w14:textId="77777777" w:rsidR="002106FF" w:rsidRPr="008F6709" w:rsidRDefault="002106FF">
      <w:pPr>
        <w:rPr>
          <w:rFonts w:ascii="仿宋" w:eastAsia="仿宋" w:hAnsi="仿宋" w:cs="仿宋"/>
        </w:rPr>
      </w:pPr>
    </w:p>
    <w:p w14:paraId="306B383A" w14:textId="77777777" w:rsidR="002106FF" w:rsidRPr="008F6709" w:rsidRDefault="002106FF">
      <w:pPr>
        <w:rPr>
          <w:rFonts w:ascii="仿宋" w:eastAsia="仿宋" w:hAnsi="仿宋" w:cs="仿宋"/>
        </w:rPr>
      </w:pPr>
    </w:p>
    <w:p w14:paraId="1C58DF2A" w14:textId="77777777" w:rsidR="002106FF" w:rsidRPr="008F6709" w:rsidRDefault="002106FF">
      <w:pPr>
        <w:rPr>
          <w:rFonts w:ascii="仿宋" w:eastAsia="仿宋" w:hAnsi="仿宋" w:cs="仿宋"/>
        </w:rPr>
      </w:pPr>
    </w:p>
    <w:p w14:paraId="18761CC9" w14:textId="77777777" w:rsidR="002106FF" w:rsidRPr="008F6709" w:rsidRDefault="002106FF">
      <w:pPr>
        <w:rPr>
          <w:rFonts w:ascii="仿宋" w:eastAsia="仿宋" w:hAnsi="仿宋" w:cs="仿宋"/>
        </w:rPr>
      </w:pPr>
    </w:p>
    <w:p w14:paraId="063B0C49" w14:textId="77777777" w:rsidR="002106FF" w:rsidRPr="008F6709" w:rsidRDefault="002106FF">
      <w:pPr>
        <w:rPr>
          <w:rFonts w:ascii="仿宋" w:eastAsia="仿宋" w:hAnsi="仿宋" w:cs="仿宋"/>
        </w:rPr>
      </w:pPr>
    </w:p>
    <w:p w14:paraId="22530804" w14:textId="77777777" w:rsidR="002106FF" w:rsidRPr="008F6709" w:rsidRDefault="002106FF">
      <w:pPr>
        <w:rPr>
          <w:rFonts w:ascii="仿宋" w:eastAsia="仿宋" w:hAnsi="仿宋" w:cs="仿宋"/>
        </w:rPr>
      </w:pPr>
    </w:p>
    <w:p w14:paraId="66673D78" w14:textId="77777777" w:rsidR="002106FF" w:rsidRPr="008F6709" w:rsidRDefault="002106FF">
      <w:pPr>
        <w:widowControl/>
        <w:jc w:val="left"/>
        <w:rPr>
          <w:rFonts w:ascii="仿宋" w:eastAsia="仿宋" w:hAnsi="仿宋" w:cs="仿宋"/>
        </w:rPr>
        <w:sectPr w:rsidR="002106FF" w:rsidRPr="008F67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14:paraId="4B2FD371" w14:textId="77777777" w:rsidR="008F6709" w:rsidRDefault="008F6709" w:rsidP="003E4432">
      <w:pPr>
        <w:spacing w:line="550" w:lineRule="exact"/>
        <w:jc w:val="center"/>
        <w:rPr>
          <w:rFonts w:ascii="仿宋" w:eastAsia="仿宋" w:hAnsi="仿宋"/>
          <w:sz w:val="36"/>
          <w:szCs w:val="36"/>
        </w:rPr>
      </w:pPr>
      <w:bookmarkStart w:id="1" w:name="_Toc462142865"/>
      <w:bookmarkStart w:id="2" w:name="_Toc12258_WPSOffice_Level1"/>
    </w:p>
    <w:p w14:paraId="60786029" w14:textId="7912395E" w:rsidR="002106FF" w:rsidRPr="008F6709" w:rsidRDefault="000F0FCB" w:rsidP="003E4432">
      <w:pPr>
        <w:spacing w:line="550" w:lineRule="exact"/>
        <w:jc w:val="center"/>
        <w:rPr>
          <w:rFonts w:ascii="仿宋" w:eastAsia="仿宋" w:hAnsi="仿宋"/>
          <w:sz w:val="36"/>
          <w:szCs w:val="36"/>
        </w:rPr>
      </w:pPr>
      <w:r w:rsidRPr="008F6709">
        <w:rPr>
          <w:rFonts w:ascii="仿宋" w:eastAsia="仿宋" w:hAnsi="仿宋" w:hint="eastAsia"/>
          <w:sz w:val="36"/>
          <w:szCs w:val="36"/>
        </w:rPr>
        <w:t>彭真民主法制思想研究与教育基金</w:t>
      </w:r>
      <w:r w:rsidRPr="008F6709">
        <w:rPr>
          <w:rFonts w:ascii="仿宋" w:eastAsia="仿宋" w:hAnsi="仿宋" w:hint="eastAsia"/>
          <w:sz w:val="36"/>
          <w:szCs w:val="36"/>
        </w:rPr>
        <w:br/>
        <w:t>202</w:t>
      </w:r>
      <w:r w:rsidR="0095531A" w:rsidRPr="008F6709">
        <w:rPr>
          <w:rFonts w:ascii="仿宋" w:eastAsia="仿宋" w:hAnsi="仿宋"/>
          <w:sz w:val="36"/>
          <w:szCs w:val="36"/>
        </w:rPr>
        <w:t>2</w:t>
      </w:r>
      <w:r w:rsidRPr="008F6709">
        <w:rPr>
          <w:rFonts w:ascii="仿宋" w:eastAsia="仿宋" w:hAnsi="仿宋" w:hint="eastAsia"/>
          <w:sz w:val="36"/>
          <w:szCs w:val="36"/>
        </w:rPr>
        <w:t>年执行报告</w:t>
      </w:r>
      <w:bookmarkEnd w:id="1"/>
      <w:bookmarkEnd w:id="2"/>
    </w:p>
    <w:p w14:paraId="0D1290C2" w14:textId="77777777" w:rsidR="003E4432" w:rsidRPr="008F6709" w:rsidRDefault="003E4432" w:rsidP="003E4432">
      <w:pPr>
        <w:spacing w:line="550" w:lineRule="exact"/>
        <w:jc w:val="center"/>
        <w:rPr>
          <w:rFonts w:ascii="仿宋" w:eastAsia="仿宋" w:hAnsi="仿宋"/>
          <w:sz w:val="36"/>
          <w:szCs w:val="36"/>
        </w:rPr>
      </w:pPr>
    </w:p>
    <w:p w14:paraId="03062776" w14:textId="77777777" w:rsidR="001D254B" w:rsidRPr="008F6709" w:rsidRDefault="001D254B" w:rsidP="001D254B">
      <w:pPr>
        <w:ind w:firstLineChars="220" w:firstLine="704"/>
        <w:rPr>
          <w:rFonts w:ascii="仿宋" w:eastAsia="仿宋" w:hAnsi="仿宋" w:cs="华文仿宋"/>
          <w:sz w:val="32"/>
          <w:szCs w:val="32"/>
        </w:rPr>
      </w:pPr>
      <w:r w:rsidRPr="008F6709">
        <w:rPr>
          <w:rFonts w:ascii="仿宋" w:eastAsia="仿宋" w:hAnsi="仿宋" w:cs="华文仿宋" w:hint="eastAsia"/>
          <w:sz w:val="32"/>
          <w:szCs w:val="32"/>
        </w:rPr>
        <w:t>彭真同志是我国伟大的无产阶级革命家、政治家，杰出的国务活动家，我国社会主义法制的主要奠基人，党和国家的卓越领导人。彭真为中华民族的独立和中国人民的解放事业，为社会主义制度的建设、发展和完善，为人民代表大会制度的建立、发展和完善，为社会主义民主法制建设，顽强奋斗一生，树立了不可磨灭的历史功勋。</w:t>
      </w:r>
    </w:p>
    <w:p w14:paraId="1E249D4E" w14:textId="77777777" w:rsidR="001D254B" w:rsidRPr="003E4432" w:rsidRDefault="001D254B" w:rsidP="001D254B">
      <w:pPr>
        <w:ind w:firstLineChars="220" w:firstLine="704"/>
        <w:rPr>
          <w:rFonts w:ascii="仿宋" w:eastAsia="仿宋" w:hAnsi="仿宋" w:cs="华文仿宋"/>
          <w:sz w:val="32"/>
          <w:szCs w:val="32"/>
        </w:rPr>
      </w:pPr>
      <w:r w:rsidRPr="008F6709">
        <w:rPr>
          <w:rFonts w:ascii="仿宋" w:eastAsia="仿宋" w:hAnsi="仿宋" w:cs="华文仿宋" w:hint="eastAsia"/>
          <w:sz w:val="32"/>
          <w:szCs w:val="32"/>
        </w:rPr>
        <w:t>为纪念彭真同志诞辰110周年和1982年宪法</w:t>
      </w:r>
      <w:r w:rsidRPr="003E4432">
        <w:rPr>
          <w:rFonts w:ascii="仿宋" w:eastAsia="仿宋" w:hAnsi="仿宋" w:cs="华文仿宋" w:hint="eastAsia"/>
          <w:sz w:val="32"/>
          <w:szCs w:val="32"/>
        </w:rPr>
        <w:t>公布施行30周年，2012年11月，北京市康达律师事务所发起设立“彭真民主法制思想研究与教育基金”（以下简称“彭真基金”），旨在继承彭真同志的革命精神和崇高品德，弘扬彭真民主法制思想，促进我国社会主义民主法制建设。</w:t>
      </w:r>
    </w:p>
    <w:p w14:paraId="7DB37F18" w14:textId="5630A986" w:rsidR="001D254B" w:rsidRPr="003E4432" w:rsidRDefault="001D254B" w:rsidP="001D254B">
      <w:pPr>
        <w:spacing w:line="360" w:lineRule="auto"/>
        <w:ind w:firstLineChars="200" w:firstLine="640"/>
        <w:rPr>
          <w:rFonts w:ascii="仿宋" w:eastAsia="仿宋" w:hAnsi="仿宋" w:cs="华文仿宋"/>
          <w:sz w:val="32"/>
          <w:szCs w:val="32"/>
        </w:rPr>
      </w:pPr>
      <w:r w:rsidRPr="003E4432">
        <w:rPr>
          <w:rFonts w:ascii="仿宋" w:eastAsia="仿宋" w:hAnsi="仿宋" w:cs="华文仿宋" w:hint="eastAsia"/>
          <w:sz w:val="32"/>
          <w:szCs w:val="32"/>
        </w:rPr>
        <w:t>彭真基金主要用于开展研究、光大彭真民主法制思想的相关活动以及开展符合《基金》宗旨的其他活动。截至202</w:t>
      </w:r>
      <w:r w:rsidR="0095531A" w:rsidRPr="003E4432">
        <w:rPr>
          <w:rFonts w:ascii="仿宋" w:eastAsia="仿宋" w:hAnsi="仿宋" w:cs="华文仿宋"/>
          <w:sz w:val="32"/>
          <w:szCs w:val="32"/>
        </w:rPr>
        <w:t>2</w:t>
      </w:r>
      <w:r w:rsidRPr="003E4432">
        <w:rPr>
          <w:rFonts w:ascii="仿宋" w:eastAsia="仿宋" w:hAnsi="仿宋" w:cs="华文仿宋" w:hint="eastAsia"/>
          <w:sz w:val="32"/>
          <w:szCs w:val="32"/>
        </w:rPr>
        <w:t>年</w:t>
      </w:r>
      <w:r w:rsidRPr="003E4432">
        <w:rPr>
          <w:rFonts w:ascii="仿宋" w:eastAsia="仿宋" w:hAnsi="仿宋" w:cs="华文仿宋"/>
          <w:sz w:val="32"/>
          <w:szCs w:val="32"/>
        </w:rPr>
        <w:t>12</w:t>
      </w:r>
      <w:r w:rsidRPr="003E4432">
        <w:rPr>
          <w:rFonts w:ascii="仿宋" w:eastAsia="仿宋" w:hAnsi="仿宋" w:cs="华文仿宋" w:hint="eastAsia"/>
          <w:sz w:val="32"/>
          <w:szCs w:val="32"/>
        </w:rPr>
        <w:t>月3</w:t>
      </w:r>
      <w:r w:rsidR="00B70DAA" w:rsidRPr="003E4432">
        <w:rPr>
          <w:rFonts w:ascii="仿宋" w:eastAsia="仿宋" w:hAnsi="仿宋" w:cs="华文仿宋"/>
          <w:sz w:val="32"/>
          <w:szCs w:val="32"/>
        </w:rPr>
        <w:t>1</w:t>
      </w:r>
      <w:r w:rsidRPr="003E4432">
        <w:rPr>
          <w:rFonts w:ascii="仿宋" w:eastAsia="仿宋" w:hAnsi="仿宋" w:cs="华文仿宋" w:hint="eastAsia"/>
          <w:sz w:val="32"/>
          <w:szCs w:val="32"/>
        </w:rPr>
        <w:t xml:space="preserve">日, </w:t>
      </w:r>
      <w:r w:rsidR="003F40BC">
        <w:rPr>
          <w:rFonts w:ascii="仿宋" w:eastAsia="仿宋" w:hAnsi="仿宋" w:cs="华文仿宋" w:hint="eastAsia"/>
          <w:sz w:val="32"/>
          <w:szCs w:val="32"/>
        </w:rPr>
        <w:t>累计</w:t>
      </w:r>
      <w:r w:rsidRPr="003E4432">
        <w:rPr>
          <w:rFonts w:ascii="仿宋" w:eastAsia="仿宋" w:hAnsi="仿宋" w:cs="华文仿宋" w:hint="eastAsia"/>
          <w:sz w:val="32"/>
          <w:szCs w:val="32"/>
        </w:rPr>
        <w:t>收到康达律师事务所捐赠的“彭真基金”1</w:t>
      </w:r>
      <w:r w:rsidR="008C0782" w:rsidRPr="003E4432">
        <w:rPr>
          <w:rFonts w:ascii="仿宋" w:eastAsia="仿宋" w:hAnsi="仿宋" w:cs="华文仿宋"/>
          <w:sz w:val="32"/>
          <w:szCs w:val="32"/>
        </w:rPr>
        <w:t>000</w:t>
      </w:r>
      <w:r w:rsidRPr="003E4432">
        <w:rPr>
          <w:rFonts w:ascii="仿宋" w:eastAsia="仿宋" w:hAnsi="仿宋" w:cs="华文仿宋" w:hint="eastAsia"/>
          <w:sz w:val="32"/>
          <w:szCs w:val="32"/>
        </w:rPr>
        <w:t>万元,</w:t>
      </w:r>
      <w:r w:rsidR="0095531A" w:rsidRPr="003E4432">
        <w:rPr>
          <w:rFonts w:ascii="仿宋" w:eastAsia="仿宋" w:hAnsi="仿宋" w:cs="华文仿宋"/>
          <w:sz w:val="32"/>
          <w:szCs w:val="32"/>
        </w:rPr>
        <w:t>2022</w:t>
      </w:r>
      <w:r w:rsidR="0095531A" w:rsidRPr="003E4432">
        <w:rPr>
          <w:rFonts w:ascii="仿宋" w:eastAsia="仿宋" w:hAnsi="仿宋" w:cs="华文仿宋" w:hint="eastAsia"/>
          <w:sz w:val="32"/>
          <w:szCs w:val="32"/>
        </w:rPr>
        <w:t>年支出2</w:t>
      </w:r>
      <w:r w:rsidR="0095531A" w:rsidRPr="003E4432">
        <w:rPr>
          <w:rFonts w:ascii="仿宋" w:eastAsia="仿宋" w:hAnsi="仿宋" w:cs="华文仿宋"/>
          <w:sz w:val="32"/>
          <w:szCs w:val="32"/>
        </w:rPr>
        <w:t>7.2</w:t>
      </w:r>
      <w:r w:rsidRPr="003E4432">
        <w:rPr>
          <w:rFonts w:ascii="仿宋" w:eastAsia="仿宋" w:hAnsi="仿宋" w:cs="华文仿宋" w:hint="eastAsia"/>
          <w:sz w:val="32"/>
          <w:szCs w:val="32"/>
        </w:rPr>
        <w:t>万元。</w:t>
      </w:r>
    </w:p>
    <w:p w14:paraId="254E8A11" w14:textId="77777777" w:rsidR="003E4432" w:rsidRPr="003E4432" w:rsidRDefault="003E4432" w:rsidP="003E4432">
      <w:pPr>
        <w:spacing w:line="360" w:lineRule="auto"/>
        <w:ind w:firstLineChars="200" w:firstLine="640"/>
        <w:rPr>
          <w:rFonts w:ascii="仿宋" w:eastAsia="仿宋" w:hAnsi="仿宋" w:cs="楷体"/>
          <w:color w:val="000000"/>
          <w:sz w:val="32"/>
          <w:szCs w:val="32"/>
        </w:rPr>
      </w:pP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20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22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年，彭真民主法制思想研究与教育基金理事会按照基金章程要求，围绕学习贯彻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落实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党的二十大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会议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精神，继续秉承“深入研究彭真同志民主法制思想，促进中国特色社会主义法治建设，繁荣我国法学研究和法学教育事业”的宗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lastRenderedPageBreak/>
        <w:t>旨，稳步开展年度工作。</w:t>
      </w:r>
    </w:p>
    <w:p w14:paraId="51136ACB" w14:textId="77777777" w:rsidR="003E4432" w:rsidRPr="003E4432" w:rsidRDefault="003E4432" w:rsidP="003E4432">
      <w:pPr>
        <w:spacing w:line="360" w:lineRule="auto"/>
        <w:ind w:firstLineChars="200" w:firstLine="640"/>
        <w:rPr>
          <w:rFonts w:ascii="黑体" w:eastAsia="黑体" w:hAnsi="黑体" w:cs="楷体"/>
          <w:color w:val="000000"/>
          <w:sz w:val="32"/>
          <w:szCs w:val="32"/>
        </w:rPr>
      </w:pPr>
      <w:r w:rsidRPr="003E4432">
        <w:rPr>
          <w:rFonts w:ascii="黑体" w:eastAsia="黑体" w:hAnsi="黑体" w:cs="楷体" w:hint="eastAsia"/>
          <w:color w:val="000000"/>
          <w:sz w:val="32"/>
          <w:szCs w:val="32"/>
        </w:rPr>
        <w:t>一、继续奖优助困，福泽莘莘学子</w:t>
      </w:r>
    </w:p>
    <w:p w14:paraId="70F4C58F" w14:textId="7E6C34A7" w:rsidR="003E4432" w:rsidRPr="003E4432" w:rsidRDefault="003E4432" w:rsidP="003E4432">
      <w:pPr>
        <w:spacing w:line="360" w:lineRule="auto"/>
        <w:ind w:firstLineChars="196" w:firstLine="627"/>
        <w:outlineLvl w:val="0"/>
        <w:rPr>
          <w:rFonts w:ascii="仿宋" w:eastAsia="仿宋" w:hAnsi="仿宋" w:cs="楷体"/>
          <w:color w:val="000000"/>
          <w:sz w:val="32"/>
          <w:szCs w:val="32"/>
        </w:rPr>
      </w:pP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奖励优秀法科学生、资助困难法科学生顺利完成学业是基金的宗旨之一。彭真基金设立的奖助学金，是彭真基金对人才培养的充分重视的体现，彭真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奖助学金涵盖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中国人民大学法学院、北京大学法学院、清华大学法学院、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山西大学法学院、山西财经大学法学院六所高等院校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。20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22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年上半年，基金发放了“202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1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年度彭真奖助学金”，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共计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27.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2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万元，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因疫情因素未举办线下颁奖仪式活动。</w:t>
      </w:r>
    </w:p>
    <w:p w14:paraId="794BFAA7" w14:textId="77777777" w:rsidR="003E4432" w:rsidRPr="003E4432" w:rsidRDefault="003E4432" w:rsidP="003E4432">
      <w:pPr>
        <w:spacing w:line="360" w:lineRule="auto"/>
        <w:ind w:firstLineChars="196" w:firstLine="627"/>
        <w:outlineLvl w:val="0"/>
        <w:rPr>
          <w:rFonts w:ascii="仿宋" w:eastAsia="仿宋" w:hAnsi="仿宋" w:cs="楷体"/>
          <w:color w:val="000000"/>
          <w:sz w:val="32"/>
          <w:szCs w:val="32"/>
        </w:rPr>
      </w:pP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在以往彭真基金奖助学金评选的基础上，20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22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年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9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月，202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2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年度彭真奖助学金的评审工作正式启动，基金秘书处办公室与参评院校联系，由各院校按时启动评选程序，并根据本办法规定的评选条件及各院校具体情况制定了评定细则。六所参评院校高度重视彭真奖助学金的评审工作，分别成立了评审小组，完成校内评选程序后，于11月向彭真基金秘书处报送初评获奖获助学生名单以及详细材料，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目前已进入材料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审核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环节。</w:t>
      </w:r>
    </w:p>
    <w:p w14:paraId="72DBD4AC" w14:textId="77777777" w:rsidR="003E4432" w:rsidRPr="003E4432" w:rsidRDefault="003E4432" w:rsidP="003E4432">
      <w:pPr>
        <w:spacing w:line="360" w:lineRule="auto"/>
        <w:ind w:firstLineChars="200" w:firstLine="643"/>
        <w:rPr>
          <w:rFonts w:ascii="黑体" w:eastAsia="黑体" w:hAnsi="黑体" w:cs="楷体"/>
          <w:b/>
          <w:color w:val="000000"/>
          <w:sz w:val="32"/>
          <w:szCs w:val="32"/>
        </w:rPr>
      </w:pPr>
      <w:r w:rsidRPr="003E4432">
        <w:rPr>
          <w:rFonts w:ascii="黑体" w:eastAsia="黑体" w:hAnsi="黑体" w:cs="楷体" w:hint="eastAsia"/>
          <w:b/>
          <w:color w:val="000000"/>
          <w:sz w:val="32"/>
          <w:szCs w:val="32"/>
        </w:rPr>
        <w:t>二、有效严格管理、合理运用基金</w:t>
      </w:r>
    </w:p>
    <w:p w14:paraId="767ABBFF" w14:textId="77777777" w:rsidR="003E4432" w:rsidRPr="003E4432" w:rsidRDefault="003E4432" w:rsidP="003E4432">
      <w:pPr>
        <w:pStyle w:val="11"/>
        <w:spacing w:line="360" w:lineRule="auto"/>
        <w:ind w:firstLine="640"/>
        <w:rPr>
          <w:rFonts w:ascii="仿宋" w:eastAsia="仿宋" w:hAnsi="仿宋" w:cs="楷体"/>
          <w:color w:val="000000"/>
          <w:sz w:val="32"/>
          <w:szCs w:val="32"/>
        </w:rPr>
      </w:pP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一直以来，基金严格执行各项财务制度的规定，严格管理并合理运用资金。</w:t>
      </w:r>
    </w:p>
    <w:p w14:paraId="5D8B2D08" w14:textId="77777777" w:rsidR="003E4432" w:rsidRPr="003E4432" w:rsidRDefault="003E4432" w:rsidP="003E4432">
      <w:pPr>
        <w:spacing w:line="360" w:lineRule="auto"/>
        <w:ind w:firstLineChars="196" w:firstLine="627"/>
        <w:outlineLvl w:val="0"/>
        <w:rPr>
          <w:rFonts w:ascii="仿宋" w:eastAsia="仿宋" w:hAnsi="仿宋" w:cs="楷体"/>
          <w:color w:val="000000"/>
          <w:sz w:val="32"/>
          <w:szCs w:val="32"/>
        </w:rPr>
      </w:pPr>
      <w:r w:rsidRPr="003E4432">
        <w:rPr>
          <w:rFonts w:ascii="仿宋" w:eastAsia="仿宋" w:hAnsi="仿宋" w:cs="楷体" w:hint="eastAsia"/>
          <w:bCs/>
          <w:color w:val="000000"/>
          <w:sz w:val="32"/>
          <w:szCs w:val="32"/>
        </w:rPr>
        <w:t>我们在总结工作的同时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，按照</w:t>
      </w:r>
      <w:r w:rsidRPr="003E4432">
        <w:rPr>
          <w:rFonts w:ascii="仿宋" w:eastAsia="仿宋" w:hAnsi="仿宋" w:cs="楷体" w:hint="eastAsia"/>
          <w:bCs/>
          <w:color w:val="000000"/>
          <w:sz w:val="32"/>
          <w:szCs w:val="32"/>
        </w:rPr>
        <w:t>基金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理事长会议的工作部署，通过举办标志性活动、支持高水平学术研究活动、开展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lastRenderedPageBreak/>
        <w:t>奖学助困工作等活动，使基金取得了良好的社会反响。</w:t>
      </w:r>
    </w:p>
    <w:p w14:paraId="3F4B6E70" w14:textId="77777777" w:rsidR="003E4432" w:rsidRPr="003E4432" w:rsidRDefault="003E4432" w:rsidP="003E4432">
      <w:pPr>
        <w:spacing w:line="360" w:lineRule="auto"/>
        <w:ind w:firstLineChars="196" w:firstLine="627"/>
        <w:outlineLvl w:val="0"/>
        <w:rPr>
          <w:rFonts w:ascii="仿宋" w:eastAsia="仿宋" w:hAnsi="仿宋" w:cs="楷体"/>
          <w:color w:val="000000"/>
          <w:sz w:val="32"/>
          <w:szCs w:val="32"/>
        </w:rPr>
      </w:pP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综上，基金将继续弘扬彭真同志的</w:t>
      </w:r>
      <w:r w:rsidRPr="003E4432">
        <w:rPr>
          <w:rFonts w:ascii="仿宋" w:eastAsia="仿宋" w:hAnsi="仿宋" w:cs="楷体" w:hint="eastAsia"/>
          <w:bCs/>
          <w:color w:val="000000"/>
          <w:sz w:val="32"/>
          <w:szCs w:val="32"/>
        </w:rPr>
        <w:t>民主法制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精神</w:t>
      </w:r>
      <w:r w:rsidRPr="003E4432">
        <w:rPr>
          <w:rFonts w:ascii="仿宋" w:eastAsia="仿宋" w:hAnsi="仿宋" w:cs="楷体" w:hint="eastAsia"/>
          <w:bCs/>
          <w:color w:val="000000"/>
          <w:sz w:val="32"/>
          <w:szCs w:val="32"/>
        </w:rPr>
        <w:t>与其个人的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崇高品德，为不断推进</w:t>
      </w:r>
      <w:r w:rsidRPr="003E4432">
        <w:rPr>
          <w:rFonts w:ascii="仿宋" w:eastAsia="仿宋" w:hAnsi="仿宋" w:cs="楷体" w:hint="eastAsia"/>
          <w:bCs/>
          <w:color w:val="000000"/>
          <w:sz w:val="32"/>
          <w:szCs w:val="32"/>
        </w:rPr>
        <w:t>我国的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法学教育和法治建设进程做出贡献。</w:t>
      </w:r>
    </w:p>
    <w:p w14:paraId="4BD8930E" w14:textId="77777777" w:rsidR="003E4432" w:rsidRPr="003E4432" w:rsidRDefault="003E4432" w:rsidP="003E4432">
      <w:pPr>
        <w:widowControl/>
        <w:spacing w:line="360" w:lineRule="auto"/>
        <w:jc w:val="left"/>
        <w:rPr>
          <w:rFonts w:ascii="仿宋" w:eastAsia="仿宋" w:hAnsi="仿宋" w:cs="楷体"/>
          <w:color w:val="000000"/>
          <w:sz w:val="32"/>
          <w:szCs w:val="32"/>
        </w:rPr>
      </w:pP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 xml:space="preserve"> </w:t>
      </w:r>
    </w:p>
    <w:p w14:paraId="4E8E6E28" w14:textId="6BFC5629" w:rsidR="003E4432" w:rsidRPr="003E4432" w:rsidRDefault="003E4432" w:rsidP="003E4432">
      <w:pPr>
        <w:spacing w:line="360" w:lineRule="auto"/>
        <w:ind w:left="1440" w:hangingChars="450" w:hanging="1440"/>
        <w:jc w:val="right"/>
        <w:rPr>
          <w:rFonts w:ascii="仿宋" w:eastAsia="仿宋" w:hAnsi="仿宋" w:cs="楷体"/>
          <w:color w:val="000000"/>
          <w:sz w:val="32"/>
          <w:szCs w:val="32"/>
        </w:rPr>
      </w:pP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20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22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年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12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月</w:t>
      </w:r>
      <w:r w:rsidRPr="003E4432">
        <w:rPr>
          <w:rFonts w:ascii="仿宋" w:eastAsia="仿宋" w:hAnsi="仿宋" w:cs="楷体"/>
          <w:color w:val="000000"/>
          <w:sz w:val="32"/>
          <w:szCs w:val="32"/>
        </w:rPr>
        <w:t>31</w:t>
      </w:r>
      <w:r w:rsidRPr="003E4432">
        <w:rPr>
          <w:rFonts w:ascii="仿宋" w:eastAsia="仿宋" w:hAnsi="仿宋" w:cs="楷体" w:hint="eastAsia"/>
          <w:color w:val="000000"/>
          <w:sz w:val="32"/>
          <w:szCs w:val="32"/>
        </w:rPr>
        <w:t>日</w:t>
      </w:r>
    </w:p>
    <w:p w14:paraId="49D9BE70" w14:textId="77777777" w:rsidR="003E4432" w:rsidRDefault="003E4432" w:rsidP="003E4432">
      <w:pPr>
        <w:spacing w:line="360" w:lineRule="auto"/>
        <w:ind w:left="1440" w:hangingChars="450" w:hanging="1440"/>
        <w:jc w:val="left"/>
        <w:rPr>
          <w:rFonts w:ascii="仿宋" w:eastAsia="仿宋" w:hAnsi="仿宋" w:cs="楷体"/>
          <w:color w:val="000000"/>
          <w:sz w:val="32"/>
          <w:szCs w:val="32"/>
        </w:rPr>
      </w:pPr>
    </w:p>
    <w:sectPr w:rsidR="003E4432">
      <w:footerReference w:type="default" r:id="rId14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094B2" w14:textId="77777777" w:rsidR="004B36C9" w:rsidRDefault="004B36C9">
      <w:r>
        <w:separator/>
      </w:r>
    </w:p>
  </w:endnote>
  <w:endnote w:type="continuationSeparator" w:id="0">
    <w:p w14:paraId="5A8A46AB" w14:textId="77777777" w:rsidR="004B36C9" w:rsidRDefault="004B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9823" w14:textId="77777777" w:rsidR="00945219" w:rsidRDefault="009452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023324"/>
    </w:sdtPr>
    <w:sdtEndPr/>
    <w:sdtContent>
      <w:p w14:paraId="4B49F063" w14:textId="77777777" w:rsidR="002106FF" w:rsidRDefault="000F0F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59</w:t>
        </w:r>
        <w:r>
          <w:rPr>
            <w:lang w:val="zh-CN"/>
          </w:rPr>
          <w:fldChar w:fldCharType="end"/>
        </w:r>
      </w:p>
    </w:sdtContent>
  </w:sdt>
  <w:p w14:paraId="6E97D889" w14:textId="77777777" w:rsidR="002106FF" w:rsidRDefault="002106F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3292" w14:textId="77777777" w:rsidR="00945219" w:rsidRDefault="0094521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255F7" w14:textId="77777777" w:rsidR="002106FF" w:rsidRDefault="000F0FC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42E76" wp14:editId="16C76B4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BCAA0" w14:textId="36C144F1" w:rsidR="002106FF" w:rsidRDefault="000F0F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F670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F6709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42E76"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4.55pt;height:10.3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UM8gEAALI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" filled="f" stroked="f">
              <v:textbox style="mso-fit-shape-to-text:t" inset="0,0,0,0">
                <w:txbxContent>
                  <w:p w14:paraId="7B6BCAA0" w14:textId="36C144F1" w:rsidR="002106FF" w:rsidRDefault="000F0F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F670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F6709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12069" w14:textId="77777777" w:rsidR="004B36C9" w:rsidRDefault="004B36C9">
      <w:r>
        <w:separator/>
      </w:r>
    </w:p>
  </w:footnote>
  <w:footnote w:type="continuationSeparator" w:id="0">
    <w:p w14:paraId="5114303B" w14:textId="77777777" w:rsidR="004B36C9" w:rsidRDefault="004B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F401" w14:textId="77777777" w:rsidR="00945219" w:rsidRDefault="0094521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D9B5" w14:textId="1F96753A" w:rsidR="002106FF" w:rsidRDefault="00945219" w:rsidP="000F0FCB">
    <w:r>
      <w:rPr>
        <w:noProof/>
      </w:rPr>
      <w:drawing>
        <wp:anchor distT="0" distB="0" distL="114300" distR="114300" simplePos="0" relativeHeight="251664384" behindDoc="1" locked="0" layoutInCell="1" allowOverlap="1" wp14:anchorId="6A1BF162" wp14:editId="7A33411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80000" cy="104436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0" cy="10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3C4D" w14:textId="21318DBB" w:rsidR="002106FF" w:rsidRDefault="00945219" w:rsidP="000F0FCB">
    <w:r>
      <w:rPr>
        <w:noProof/>
      </w:rPr>
      <w:drawing>
        <wp:anchor distT="0" distB="0" distL="114300" distR="114300" simplePos="0" relativeHeight="251662336" behindDoc="1" locked="0" layoutInCell="1" allowOverlap="1" wp14:anchorId="05170E36" wp14:editId="3E25D8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80000" cy="10443600"/>
          <wp:effectExtent l="0" t="0" r="0" b="0"/>
          <wp:wrapNone/>
          <wp:docPr id="15" name="图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0" cy="104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C0"/>
    <w:rsid w:val="000001E8"/>
    <w:rsid w:val="00003AA8"/>
    <w:rsid w:val="00005DF3"/>
    <w:rsid w:val="00013461"/>
    <w:rsid w:val="00017358"/>
    <w:rsid w:val="00020F30"/>
    <w:rsid w:val="00025A96"/>
    <w:rsid w:val="000303F9"/>
    <w:rsid w:val="00034972"/>
    <w:rsid w:val="000365FD"/>
    <w:rsid w:val="00036635"/>
    <w:rsid w:val="000401AD"/>
    <w:rsid w:val="00042685"/>
    <w:rsid w:val="0007002E"/>
    <w:rsid w:val="000701C3"/>
    <w:rsid w:val="00070A96"/>
    <w:rsid w:val="000807EE"/>
    <w:rsid w:val="000814C1"/>
    <w:rsid w:val="00083AF6"/>
    <w:rsid w:val="00096C46"/>
    <w:rsid w:val="000A0F92"/>
    <w:rsid w:val="000A29E4"/>
    <w:rsid w:val="000A419C"/>
    <w:rsid w:val="000B7985"/>
    <w:rsid w:val="000C4CF6"/>
    <w:rsid w:val="000C6055"/>
    <w:rsid w:val="000D1142"/>
    <w:rsid w:val="000D16C2"/>
    <w:rsid w:val="000D520A"/>
    <w:rsid w:val="000E0F09"/>
    <w:rsid w:val="000E52B3"/>
    <w:rsid w:val="000E539B"/>
    <w:rsid w:val="000F0FCB"/>
    <w:rsid w:val="000F1A76"/>
    <w:rsid w:val="000F7081"/>
    <w:rsid w:val="000F7E25"/>
    <w:rsid w:val="001006EC"/>
    <w:rsid w:val="00117081"/>
    <w:rsid w:val="001270DE"/>
    <w:rsid w:val="00133D2B"/>
    <w:rsid w:val="00162FEE"/>
    <w:rsid w:val="00190A48"/>
    <w:rsid w:val="00194EA5"/>
    <w:rsid w:val="00196B4D"/>
    <w:rsid w:val="001A5E81"/>
    <w:rsid w:val="001C244A"/>
    <w:rsid w:val="001C6EFC"/>
    <w:rsid w:val="001D061C"/>
    <w:rsid w:val="001D254B"/>
    <w:rsid w:val="001D3027"/>
    <w:rsid w:val="001D4AAB"/>
    <w:rsid w:val="001E306D"/>
    <w:rsid w:val="001F00E5"/>
    <w:rsid w:val="001F12E9"/>
    <w:rsid w:val="001F70F4"/>
    <w:rsid w:val="00206393"/>
    <w:rsid w:val="002106FF"/>
    <w:rsid w:val="002122D3"/>
    <w:rsid w:val="002139F1"/>
    <w:rsid w:val="002140E4"/>
    <w:rsid w:val="0022550C"/>
    <w:rsid w:val="00231420"/>
    <w:rsid w:val="00234E37"/>
    <w:rsid w:val="00247FB5"/>
    <w:rsid w:val="00262B64"/>
    <w:rsid w:val="00273AB9"/>
    <w:rsid w:val="002954C3"/>
    <w:rsid w:val="002A1783"/>
    <w:rsid w:val="002A4D13"/>
    <w:rsid w:val="002B225D"/>
    <w:rsid w:val="002C00A3"/>
    <w:rsid w:val="002C7F55"/>
    <w:rsid w:val="002E5AD1"/>
    <w:rsid w:val="002F3E4E"/>
    <w:rsid w:val="00305A8B"/>
    <w:rsid w:val="003121CA"/>
    <w:rsid w:val="00313A02"/>
    <w:rsid w:val="00314154"/>
    <w:rsid w:val="00322AB8"/>
    <w:rsid w:val="003248A8"/>
    <w:rsid w:val="00367C32"/>
    <w:rsid w:val="003B4650"/>
    <w:rsid w:val="003C2794"/>
    <w:rsid w:val="003D1020"/>
    <w:rsid w:val="003E2DB1"/>
    <w:rsid w:val="003E4432"/>
    <w:rsid w:val="003E4D77"/>
    <w:rsid w:val="003E5358"/>
    <w:rsid w:val="003F2E35"/>
    <w:rsid w:val="003F40BC"/>
    <w:rsid w:val="004224FE"/>
    <w:rsid w:val="004434B6"/>
    <w:rsid w:val="00443C8A"/>
    <w:rsid w:val="00452825"/>
    <w:rsid w:val="004736BF"/>
    <w:rsid w:val="00480BDF"/>
    <w:rsid w:val="00495DB6"/>
    <w:rsid w:val="004A52D0"/>
    <w:rsid w:val="004B36C9"/>
    <w:rsid w:val="004B61A5"/>
    <w:rsid w:val="004C13FB"/>
    <w:rsid w:val="004C4B16"/>
    <w:rsid w:val="004C7041"/>
    <w:rsid w:val="004D1F93"/>
    <w:rsid w:val="004D2963"/>
    <w:rsid w:val="004D35B1"/>
    <w:rsid w:val="004E4C0E"/>
    <w:rsid w:val="0050138E"/>
    <w:rsid w:val="005152EB"/>
    <w:rsid w:val="005362D6"/>
    <w:rsid w:val="005368A2"/>
    <w:rsid w:val="00541559"/>
    <w:rsid w:val="00542F63"/>
    <w:rsid w:val="00543564"/>
    <w:rsid w:val="00546178"/>
    <w:rsid w:val="00560391"/>
    <w:rsid w:val="00560F29"/>
    <w:rsid w:val="00562DF3"/>
    <w:rsid w:val="00564652"/>
    <w:rsid w:val="00580546"/>
    <w:rsid w:val="0058363D"/>
    <w:rsid w:val="00595383"/>
    <w:rsid w:val="00596B9B"/>
    <w:rsid w:val="005A58A6"/>
    <w:rsid w:val="005A6ABB"/>
    <w:rsid w:val="005A79FB"/>
    <w:rsid w:val="005B6BDA"/>
    <w:rsid w:val="005D457E"/>
    <w:rsid w:val="005E4D20"/>
    <w:rsid w:val="005F4CEB"/>
    <w:rsid w:val="00607699"/>
    <w:rsid w:val="00627EA7"/>
    <w:rsid w:val="00635110"/>
    <w:rsid w:val="00663C09"/>
    <w:rsid w:val="00674DE7"/>
    <w:rsid w:val="00677852"/>
    <w:rsid w:val="00677CA2"/>
    <w:rsid w:val="0068505B"/>
    <w:rsid w:val="006956FE"/>
    <w:rsid w:val="006E6534"/>
    <w:rsid w:val="007010DF"/>
    <w:rsid w:val="0070730C"/>
    <w:rsid w:val="00713F3E"/>
    <w:rsid w:val="00721D1D"/>
    <w:rsid w:val="00726BE8"/>
    <w:rsid w:val="0076188A"/>
    <w:rsid w:val="00765135"/>
    <w:rsid w:val="00766794"/>
    <w:rsid w:val="00766EB2"/>
    <w:rsid w:val="007A4483"/>
    <w:rsid w:val="007B22E8"/>
    <w:rsid w:val="007C0235"/>
    <w:rsid w:val="007C4B55"/>
    <w:rsid w:val="007D6102"/>
    <w:rsid w:val="007E4503"/>
    <w:rsid w:val="00800360"/>
    <w:rsid w:val="00801072"/>
    <w:rsid w:val="0080286F"/>
    <w:rsid w:val="00806317"/>
    <w:rsid w:val="00811C12"/>
    <w:rsid w:val="008127B4"/>
    <w:rsid w:val="008167C7"/>
    <w:rsid w:val="00816A58"/>
    <w:rsid w:val="00820DCC"/>
    <w:rsid w:val="00853303"/>
    <w:rsid w:val="008641ED"/>
    <w:rsid w:val="00871E54"/>
    <w:rsid w:val="00883C56"/>
    <w:rsid w:val="008841B1"/>
    <w:rsid w:val="008A25C0"/>
    <w:rsid w:val="008A5E04"/>
    <w:rsid w:val="008B209C"/>
    <w:rsid w:val="008C0782"/>
    <w:rsid w:val="008E497F"/>
    <w:rsid w:val="008F2232"/>
    <w:rsid w:val="008F24E1"/>
    <w:rsid w:val="008F2724"/>
    <w:rsid w:val="008F6709"/>
    <w:rsid w:val="00903595"/>
    <w:rsid w:val="00916AD2"/>
    <w:rsid w:val="009170C3"/>
    <w:rsid w:val="0092140B"/>
    <w:rsid w:val="00937E9A"/>
    <w:rsid w:val="00945219"/>
    <w:rsid w:val="0095193D"/>
    <w:rsid w:val="00953E07"/>
    <w:rsid w:val="00954B3F"/>
    <w:rsid w:val="0095531A"/>
    <w:rsid w:val="0096616C"/>
    <w:rsid w:val="009B652D"/>
    <w:rsid w:val="009D45AB"/>
    <w:rsid w:val="009E352A"/>
    <w:rsid w:val="009F7B43"/>
    <w:rsid w:val="00A435B4"/>
    <w:rsid w:val="00A50778"/>
    <w:rsid w:val="00A6564A"/>
    <w:rsid w:val="00A719D7"/>
    <w:rsid w:val="00A82FC0"/>
    <w:rsid w:val="00AB3662"/>
    <w:rsid w:val="00AB6782"/>
    <w:rsid w:val="00AB70DD"/>
    <w:rsid w:val="00AD055D"/>
    <w:rsid w:val="00AD2768"/>
    <w:rsid w:val="00AD54BF"/>
    <w:rsid w:val="00AD5F87"/>
    <w:rsid w:val="00AE1B41"/>
    <w:rsid w:val="00AE37E2"/>
    <w:rsid w:val="00AE41D7"/>
    <w:rsid w:val="00AE456F"/>
    <w:rsid w:val="00AF404B"/>
    <w:rsid w:val="00AF4326"/>
    <w:rsid w:val="00B102CF"/>
    <w:rsid w:val="00B176A1"/>
    <w:rsid w:val="00B17759"/>
    <w:rsid w:val="00B51882"/>
    <w:rsid w:val="00B536A1"/>
    <w:rsid w:val="00B65AFB"/>
    <w:rsid w:val="00B662DC"/>
    <w:rsid w:val="00B70DAA"/>
    <w:rsid w:val="00B86B32"/>
    <w:rsid w:val="00BB18B4"/>
    <w:rsid w:val="00BB32B8"/>
    <w:rsid w:val="00BC3CEE"/>
    <w:rsid w:val="00BD0CC5"/>
    <w:rsid w:val="00BD6561"/>
    <w:rsid w:val="00BE0889"/>
    <w:rsid w:val="00C21452"/>
    <w:rsid w:val="00C23198"/>
    <w:rsid w:val="00C325AE"/>
    <w:rsid w:val="00C32D2D"/>
    <w:rsid w:val="00C5115D"/>
    <w:rsid w:val="00C7308F"/>
    <w:rsid w:val="00C768D0"/>
    <w:rsid w:val="00C827FF"/>
    <w:rsid w:val="00C82FBC"/>
    <w:rsid w:val="00CA2E57"/>
    <w:rsid w:val="00CA4506"/>
    <w:rsid w:val="00CA4E0E"/>
    <w:rsid w:val="00CA523C"/>
    <w:rsid w:val="00CB3DAA"/>
    <w:rsid w:val="00CB573F"/>
    <w:rsid w:val="00CC7F3C"/>
    <w:rsid w:val="00CD5779"/>
    <w:rsid w:val="00CF1BAE"/>
    <w:rsid w:val="00CF61D4"/>
    <w:rsid w:val="00D01D2A"/>
    <w:rsid w:val="00D0259D"/>
    <w:rsid w:val="00D03722"/>
    <w:rsid w:val="00D07F6B"/>
    <w:rsid w:val="00D11CFF"/>
    <w:rsid w:val="00D25944"/>
    <w:rsid w:val="00D35770"/>
    <w:rsid w:val="00D426EA"/>
    <w:rsid w:val="00D45350"/>
    <w:rsid w:val="00D51264"/>
    <w:rsid w:val="00D5199C"/>
    <w:rsid w:val="00D7216B"/>
    <w:rsid w:val="00D73FB8"/>
    <w:rsid w:val="00D75452"/>
    <w:rsid w:val="00D76841"/>
    <w:rsid w:val="00DA2AB8"/>
    <w:rsid w:val="00DA2C99"/>
    <w:rsid w:val="00DA365A"/>
    <w:rsid w:val="00DA3D57"/>
    <w:rsid w:val="00DB179A"/>
    <w:rsid w:val="00DE68EA"/>
    <w:rsid w:val="00DF187F"/>
    <w:rsid w:val="00E055F8"/>
    <w:rsid w:val="00E10164"/>
    <w:rsid w:val="00E208D8"/>
    <w:rsid w:val="00E23C2E"/>
    <w:rsid w:val="00E34A2D"/>
    <w:rsid w:val="00E3540B"/>
    <w:rsid w:val="00E37910"/>
    <w:rsid w:val="00E42C19"/>
    <w:rsid w:val="00E4397D"/>
    <w:rsid w:val="00E45D5B"/>
    <w:rsid w:val="00E46906"/>
    <w:rsid w:val="00E549DD"/>
    <w:rsid w:val="00E54F85"/>
    <w:rsid w:val="00E62D39"/>
    <w:rsid w:val="00EB0188"/>
    <w:rsid w:val="00EB71C9"/>
    <w:rsid w:val="00EC5324"/>
    <w:rsid w:val="00EC5428"/>
    <w:rsid w:val="00EF28E6"/>
    <w:rsid w:val="00F008EF"/>
    <w:rsid w:val="00F0311C"/>
    <w:rsid w:val="00F11CBE"/>
    <w:rsid w:val="00F239AE"/>
    <w:rsid w:val="00F3676A"/>
    <w:rsid w:val="00F403EA"/>
    <w:rsid w:val="00F477BA"/>
    <w:rsid w:val="00F52365"/>
    <w:rsid w:val="00F56268"/>
    <w:rsid w:val="00F564CB"/>
    <w:rsid w:val="00F60020"/>
    <w:rsid w:val="00F65898"/>
    <w:rsid w:val="00F72B2B"/>
    <w:rsid w:val="00F81A20"/>
    <w:rsid w:val="00F83E98"/>
    <w:rsid w:val="00F85110"/>
    <w:rsid w:val="00FA074B"/>
    <w:rsid w:val="00FA7A76"/>
    <w:rsid w:val="00FB39D4"/>
    <w:rsid w:val="00FC1671"/>
    <w:rsid w:val="00FC713B"/>
    <w:rsid w:val="00FC7EEF"/>
    <w:rsid w:val="00FE0475"/>
    <w:rsid w:val="00FE23BB"/>
    <w:rsid w:val="00FE46D7"/>
    <w:rsid w:val="00FE52FF"/>
    <w:rsid w:val="00FE652D"/>
    <w:rsid w:val="016575EC"/>
    <w:rsid w:val="017B6626"/>
    <w:rsid w:val="033E06CB"/>
    <w:rsid w:val="09706B1B"/>
    <w:rsid w:val="09E1375B"/>
    <w:rsid w:val="0A2F2A3E"/>
    <w:rsid w:val="0C3C544B"/>
    <w:rsid w:val="0D694C68"/>
    <w:rsid w:val="12796419"/>
    <w:rsid w:val="14176E85"/>
    <w:rsid w:val="16C455EC"/>
    <w:rsid w:val="1B574604"/>
    <w:rsid w:val="1E362DDE"/>
    <w:rsid w:val="1E7A5DC6"/>
    <w:rsid w:val="1FBD582E"/>
    <w:rsid w:val="1FD84B22"/>
    <w:rsid w:val="22EF0FAE"/>
    <w:rsid w:val="23012569"/>
    <w:rsid w:val="24886BFE"/>
    <w:rsid w:val="25194B68"/>
    <w:rsid w:val="25962B24"/>
    <w:rsid w:val="26167282"/>
    <w:rsid w:val="26E81863"/>
    <w:rsid w:val="26FA65DF"/>
    <w:rsid w:val="286644FF"/>
    <w:rsid w:val="292D780F"/>
    <w:rsid w:val="2B1A2FB5"/>
    <w:rsid w:val="2CA94296"/>
    <w:rsid w:val="2E401C40"/>
    <w:rsid w:val="2EE11FF6"/>
    <w:rsid w:val="316B28C5"/>
    <w:rsid w:val="31E25B35"/>
    <w:rsid w:val="369E7207"/>
    <w:rsid w:val="37CB03CF"/>
    <w:rsid w:val="3B79000F"/>
    <w:rsid w:val="3C2E6B68"/>
    <w:rsid w:val="3D360D26"/>
    <w:rsid w:val="3D4E1833"/>
    <w:rsid w:val="3E4B602B"/>
    <w:rsid w:val="400E7E96"/>
    <w:rsid w:val="42ED6231"/>
    <w:rsid w:val="43394DDF"/>
    <w:rsid w:val="51B95403"/>
    <w:rsid w:val="51EC3A64"/>
    <w:rsid w:val="52D30EA3"/>
    <w:rsid w:val="53250692"/>
    <w:rsid w:val="54720662"/>
    <w:rsid w:val="5A9C4890"/>
    <w:rsid w:val="5BEE386D"/>
    <w:rsid w:val="5C160254"/>
    <w:rsid w:val="5C8A0D79"/>
    <w:rsid w:val="5CF76AE6"/>
    <w:rsid w:val="61FC6BBE"/>
    <w:rsid w:val="62B3640C"/>
    <w:rsid w:val="635342CA"/>
    <w:rsid w:val="68030ABA"/>
    <w:rsid w:val="699E1898"/>
    <w:rsid w:val="6D0F5755"/>
    <w:rsid w:val="6E7263A2"/>
    <w:rsid w:val="6F4E236E"/>
    <w:rsid w:val="74725221"/>
    <w:rsid w:val="753F0272"/>
    <w:rsid w:val="77473A9C"/>
    <w:rsid w:val="784F1EF1"/>
    <w:rsid w:val="7AEC4677"/>
    <w:rsid w:val="7C6F1921"/>
    <w:rsid w:val="7C707B9F"/>
    <w:rsid w:val="7D647E44"/>
    <w:rsid w:val="7E6567AD"/>
    <w:rsid w:val="7FD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D24C"/>
  <w15:docId w15:val="{F7B936A9-EFE0-43AB-ACA4-D907E662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340" w:after="330" w:line="576" w:lineRule="auto"/>
      <w:outlineLvl w:val="0"/>
    </w:pPr>
    <w:rPr>
      <w:b/>
      <w:bCs/>
      <w:kern w:val="36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Date"/>
    <w:basedOn w:val="a"/>
    <w:next w:val="a"/>
    <w:link w:val="a6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semiHidden/>
    <w:unhideWhenUsed/>
    <w:qFormat/>
    <w:rPr>
      <w:color w:val="0000FF"/>
      <w:u w:val="single"/>
    </w:rPr>
  </w:style>
  <w:style w:type="character" w:styleId="af2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110">
    <w:name w:val="列出段落11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c">
    <w:name w:val="页眉 字符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标题 字符"/>
    <w:link w:val="ae"/>
    <w:uiPriority w:val="10"/>
    <w:qFormat/>
    <w:rPr>
      <w:rFonts w:ascii="Cambria" w:eastAsia="宋体" w:hAnsi="Cambria" w:cs="黑体"/>
      <w:b/>
      <w:bCs/>
      <w:sz w:val="32"/>
      <w:szCs w:val="32"/>
    </w:rPr>
  </w:style>
  <w:style w:type="character" w:customStyle="1" w:styleId="a4">
    <w:name w:val="批注文字 字符"/>
    <w:link w:val="a3"/>
    <w:uiPriority w:val="99"/>
    <w:qFormat/>
    <w:rPr>
      <w:rFonts w:ascii="Calibri" w:eastAsia="宋体" w:hAnsi="Calibri" w:cs="Times New Roman"/>
    </w:rPr>
  </w:style>
  <w:style w:type="character" w:customStyle="1" w:styleId="a8">
    <w:name w:val="批注框文本 字符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uiPriority w:val="99"/>
    <w:qFormat/>
    <w:pPr>
      <w:widowControl/>
    </w:pPr>
    <w:rPr>
      <w:kern w:val="0"/>
      <w:szCs w:val="21"/>
    </w:rPr>
  </w:style>
  <w:style w:type="character" w:customStyle="1" w:styleId="10">
    <w:name w:val="标题 1 字符"/>
    <w:basedOn w:val="a0"/>
    <w:link w:val="1"/>
    <w:uiPriority w:val="99"/>
    <w:qFormat/>
    <w:rPr>
      <w:b/>
      <w:bCs/>
      <w:kern w:val="36"/>
      <w:sz w:val="44"/>
      <w:szCs w:val="44"/>
    </w:rPr>
  </w:style>
  <w:style w:type="character" w:customStyle="1" w:styleId="a6">
    <w:name w:val="日期 字符"/>
    <w:basedOn w:val="a0"/>
    <w:link w:val="a5"/>
    <w:semiHidden/>
    <w:qFormat/>
    <w:rPr>
      <w:kern w:val="2"/>
      <w:sz w:val="21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WPSOffice1">
    <w:name w:val="WPSOffice手动目录 1"/>
    <w:qFormat/>
  </w:style>
  <w:style w:type="character" w:customStyle="1" w:styleId="30">
    <w:name w:val="标题 3 字符"/>
    <w:link w:val="3"/>
    <w:rPr>
      <w:b/>
      <w:sz w:val="32"/>
    </w:rPr>
  </w:style>
  <w:style w:type="character" w:customStyle="1" w:styleId="20">
    <w:name w:val="标题 2 字符"/>
    <w:link w:val="2"/>
    <w:rPr>
      <w:rFonts w:ascii="Arial" w:eastAsia="黑体" w:hAnsi="Arial"/>
      <w:b/>
      <w:sz w:val="32"/>
    </w:rPr>
  </w:style>
  <w:style w:type="character" w:styleId="af4">
    <w:name w:val="Emphasis"/>
    <w:basedOn w:val="a0"/>
    <w:uiPriority w:val="20"/>
    <w:qFormat/>
    <w:rsid w:val="001D25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99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73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50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09B61-2F72-4DC9-9742-375570E4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173</Words>
  <Characters>991</Characters>
  <Application>Microsoft Office Word</Application>
  <DocSecurity>0</DocSecurity>
  <Lines>8</Lines>
  <Paragraphs>2</Paragraphs>
  <ScaleCrop>false</ScaleCrop>
  <Company>微软中国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彭真民主法制思想研究与教育基金</dc:title>
  <dc:creator>杨娇</dc:creator>
  <cp:lastModifiedBy>User</cp:lastModifiedBy>
  <cp:revision>61</cp:revision>
  <cp:lastPrinted>2023-01-13T12:09:00Z</cp:lastPrinted>
  <dcterms:created xsi:type="dcterms:W3CDTF">2019-12-11T01:52:00Z</dcterms:created>
  <dcterms:modified xsi:type="dcterms:W3CDTF">2023-05-31T07:31:00Z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